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69F4" w14:textId="68D206B3" w:rsidR="002E7605" w:rsidRDefault="00011853" w:rsidP="007C39EB">
      <w:pPr>
        <w:pStyle w:val="FactSheettitle"/>
      </w:pPr>
      <w:bookmarkStart w:id="0" w:name="_Toc436235760"/>
      <w:r>
        <w:rPr>
          <w:noProof/>
        </w:rPr>
        <mc:AlternateContent>
          <mc:Choice Requires="wps">
            <w:drawing>
              <wp:anchor distT="45720" distB="45720" distL="114300" distR="114300" simplePos="0" relativeHeight="251659264" behindDoc="1" locked="0" layoutInCell="1" allowOverlap="1" wp14:anchorId="5403AF11" wp14:editId="07C1D551">
                <wp:simplePos x="0" y="0"/>
                <wp:positionH relativeFrom="margin">
                  <wp:posOffset>3613785</wp:posOffset>
                </wp:positionH>
                <wp:positionV relativeFrom="paragraph">
                  <wp:posOffset>-492760</wp:posOffset>
                </wp:positionV>
                <wp:extent cx="3103245" cy="4387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438785"/>
                        </a:xfrm>
                        <a:prstGeom prst="rect">
                          <a:avLst/>
                        </a:prstGeom>
                        <a:noFill/>
                        <a:ln w="9525">
                          <a:noFill/>
                          <a:miter lim="800000"/>
                          <a:headEnd/>
                          <a:tailEnd/>
                        </a:ln>
                      </wps:spPr>
                      <wps:txbx>
                        <w:txbxContent>
                          <w:p w14:paraId="6784E57A" w14:textId="29DBAB45" w:rsidR="002C4153" w:rsidRPr="00C45B68" w:rsidRDefault="004D6DC2" w:rsidP="002C4153">
                            <w:pPr>
                              <w:jc w:val="right"/>
                              <w:rPr>
                                <w:b/>
                                <w:bCs/>
                                <w:color w:val="FFFFFF" w:themeColor="background1"/>
                                <w:sz w:val="24"/>
                                <w:szCs w:val="28"/>
                              </w:rPr>
                            </w:pPr>
                            <w:r>
                              <w:rPr>
                                <w:b/>
                                <w:bCs/>
                                <w:color w:val="FFFFFF" w:themeColor="background1"/>
                                <w:sz w:val="24"/>
                                <w:szCs w:val="28"/>
                              </w:rPr>
                              <w:t>Royal Brisbane and Women’s Hospital</w:t>
                            </w:r>
                            <w:r w:rsidR="00590886">
                              <w:rPr>
                                <w:b/>
                                <w:bCs/>
                                <w:color w:val="FFFFFF" w:themeColor="background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3AF11" id="_x0000_t202" coordsize="21600,21600" o:spt="202" path="m,l,21600r21600,l21600,xe">
                <v:stroke joinstyle="miter"/>
                <v:path gradientshapeok="t" o:connecttype="rect"/>
              </v:shapetype>
              <v:shape id="Text Box 2" o:spid="_x0000_s1026" type="#_x0000_t202" style="position:absolute;margin-left:284.55pt;margin-top:-38.8pt;width:244.35pt;height:34.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yS+A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" filled="f" stroked="f">
                <v:textbox>
                  <w:txbxContent>
                    <w:p w14:paraId="6784E57A" w14:textId="29DBAB45" w:rsidR="002C4153" w:rsidRPr="00C45B68" w:rsidRDefault="004D6DC2" w:rsidP="002C4153">
                      <w:pPr>
                        <w:jc w:val="right"/>
                        <w:rPr>
                          <w:b/>
                          <w:bCs/>
                          <w:color w:val="FFFFFF" w:themeColor="background1"/>
                          <w:sz w:val="24"/>
                          <w:szCs w:val="28"/>
                        </w:rPr>
                      </w:pPr>
                      <w:r>
                        <w:rPr>
                          <w:b/>
                          <w:bCs/>
                          <w:color w:val="FFFFFF" w:themeColor="background1"/>
                          <w:sz w:val="24"/>
                          <w:szCs w:val="28"/>
                        </w:rPr>
                        <w:t>Royal Brisbane and Women’s Hospital</w:t>
                      </w:r>
                      <w:r w:rsidR="00590886">
                        <w:rPr>
                          <w:b/>
                          <w:bCs/>
                          <w:color w:val="FFFFFF" w:themeColor="background1"/>
                          <w:sz w:val="24"/>
                          <w:szCs w:val="28"/>
                        </w:rPr>
                        <w:t xml:space="preserve"> </w:t>
                      </w:r>
                    </w:p>
                  </w:txbxContent>
                </v:textbox>
                <w10:wrap anchorx="margin"/>
              </v:shape>
            </w:pict>
          </mc:Fallback>
        </mc:AlternateContent>
      </w:r>
      <w:r w:rsidR="00643332">
        <w:br/>
      </w:r>
      <w:r w:rsidR="00066DCB">
        <w:t>Role Desc</w:t>
      </w:r>
      <w:r w:rsidR="001F7283">
        <w:t>ri</w:t>
      </w:r>
      <w:r w:rsidR="00066DCB">
        <w:t>p</w:t>
      </w:r>
      <w:r w:rsidR="001F7283">
        <w:t>tion</w:t>
      </w:r>
      <w:r w:rsidR="002C4153">
        <w:tab/>
      </w:r>
    </w:p>
    <w:p w14:paraId="013AB3D4" w14:textId="77777777" w:rsidR="001F7283" w:rsidRDefault="001F7283" w:rsidP="007C39EB">
      <w:pPr>
        <w:pStyle w:val="IntroParagraph"/>
      </w:pPr>
    </w:p>
    <w:bookmarkEnd w:id="0"/>
    <w:p w14:paraId="1A4275E8" w14:textId="256842FC" w:rsidR="00312A1F" w:rsidRDefault="003F3AC3" w:rsidP="007C39EB">
      <w:pPr>
        <w:pStyle w:val="Heading1"/>
        <w:tabs>
          <w:tab w:val="center" w:pos="5098"/>
        </w:tabs>
        <w:spacing w:before="0" w:after="0"/>
        <w:rPr>
          <w:color w:val="365F91"/>
          <w:sz w:val="40"/>
          <w:szCs w:val="40"/>
        </w:rPr>
      </w:pPr>
      <w:r>
        <w:rPr>
          <w:color w:val="365F91"/>
          <w:sz w:val="40"/>
          <w:szCs w:val="40"/>
        </w:rPr>
        <w:t>Fellow</w:t>
      </w:r>
      <w:r w:rsidR="00B52CFC">
        <w:rPr>
          <w:color w:val="365F91"/>
          <w:sz w:val="40"/>
          <w:szCs w:val="40"/>
        </w:rPr>
        <w:t xml:space="preserve">, Queensland </w:t>
      </w:r>
      <w:proofErr w:type="spellStart"/>
      <w:r w:rsidR="00B52CFC">
        <w:rPr>
          <w:color w:val="365F91"/>
          <w:sz w:val="40"/>
          <w:szCs w:val="40"/>
        </w:rPr>
        <w:t>Telestroke</w:t>
      </w:r>
      <w:proofErr w:type="spellEnd"/>
      <w:r w:rsidR="009C02A1">
        <w:rPr>
          <w:color w:val="365F91"/>
          <w:sz w:val="40"/>
          <w:szCs w:val="40"/>
        </w:rPr>
        <w:t xml:space="preserve"> Service</w:t>
      </w:r>
      <w:r w:rsidR="00312A1F">
        <w:rPr>
          <w:color w:val="365F91"/>
          <w:sz w:val="40"/>
          <w:szCs w:val="40"/>
        </w:rPr>
        <w:br/>
      </w:r>
    </w:p>
    <w:tbl>
      <w:tblPr>
        <w:tblW w:w="0" w:type="auto"/>
        <w:tblLook w:val="04A0" w:firstRow="1" w:lastRow="0" w:firstColumn="1" w:lastColumn="0" w:noHBand="0" w:noVBand="1"/>
      </w:tblPr>
      <w:tblGrid>
        <w:gridCol w:w="1985"/>
        <w:gridCol w:w="224"/>
        <w:gridCol w:w="2327"/>
        <w:gridCol w:w="2268"/>
        <w:gridCol w:w="3393"/>
      </w:tblGrid>
      <w:tr w:rsidR="00312A1F" w14:paraId="07C443BE" w14:textId="77777777" w:rsidTr="00312A1F">
        <w:tc>
          <w:tcPr>
            <w:tcW w:w="1985" w:type="dxa"/>
            <w:tcBorders>
              <w:top w:val="single" w:sz="4" w:space="0" w:color="BFBFBF"/>
              <w:left w:val="nil"/>
              <w:bottom w:val="single" w:sz="4" w:space="0" w:color="BFBFBF"/>
              <w:right w:val="nil"/>
            </w:tcBorders>
            <w:hideMark/>
          </w:tcPr>
          <w:p w14:paraId="55B3F967"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Job ad reference:</w:t>
            </w:r>
          </w:p>
        </w:tc>
        <w:tc>
          <w:tcPr>
            <w:tcW w:w="2551" w:type="dxa"/>
            <w:gridSpan w:val="2"/>
            <w:tcBorders>
              <w:top w:val="single" w:sz="4" w:space="0" w:color="BFBFBF"/>
              <w:left w:val="nil"/>
              <w:bottom w:val="single" w:sz="4" w:space="0" w:color="BFBFBF"/>
              <w:right w:val="nil"/>
            </w:tcBorders>
            <w:hideMark/>
          </w:tcPr>
          <w:p w14:paraId="7473CA64" w14:textId="77777777" w:rsidR="00312A1F" w:rsidRDefault="00312A1F" w:rsidP="007C39EB">
            <w:pPr>
              <w:pStyle w:val="FactsheetHeading"/>
              <w:tabs>
                <w:tab w:val="right" w:pos="10197"/>
              </w:tabs>
              <w:spacing w:before="40" w:after="40"/>
              <w:rPr>
                <w:rFonts w:cs="Arial"/>
                <w:color w:val="auto"/>
                <w:sz w:val="20"/>
                <w:szCs w:val="20"/>
              </w:rPr>
            </w:pP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color w:val="auto"/>
                <w:sz w:val="20"/>
                <w:szCs w:val="20"/>
              </w:rPr>
              <w:fldChar w:fldCharType="end"/>
            </w:r>
          </w:p>
        </w:tc>
        <w:tc>
          <w:tcPr>
            <w:tcW w:w="2268" w:type="dxa"/>
            <w:tcBorders>
              <w:top w:val="single" w:sz="4" w:space="0" w:color="BFBFBF"/>
              <w:left w:val="nil"/>
              <w:bottom w:val="single" w:sz="4" w:space="0" w:color="BFBFBF"/>
              <w:right w:val="nil"/>
            </w:tcBorders>
          </w:tcPr>
          <w:p w14:paraId="192866B3" w14:textId="77777777" w:rsidR="00312A1F" w:rsidRDefault="00312A1F" w:rsidP="007C39EB">
            <w:pPr>
              <w:pStyle w:val="FactsheetHeading"/>
              <w:tabs>
                <w:tab w:val="right" w:pos="10197"/>
              </w:tabs>
              <w:spacing w:before="40" w:after="40"/>
              <w:rPr>
                <w:b/>
                <w:color w:val="auto"/>
                <w:sz w:val="20"/>
                <w:szCs w:val="20"/>
              </w:rPr>
            </w:pPr>
          </w:p>
        </w:tc>
        <w:tc>
          <w:tcPr>
            <w:tcW w:w="3393" w:type="dxa"/>
            <w:tcBorders>
              <w:top w:val="single" w:sz="4" w:space="0" w:color="BFBFBF"/>
              <w:left w:val="nil"/>
              <w:bottom w:val="single" w:sz="4" w:space="0" w:color="BFBFBF"/>
              <w:right w:val="nil"/>
            </w:tcBorders>
          </w:tcPr>
          <w:p w14:paraId="3DF8AAFB" w14:textId="77777777" w:rsidR="00312A1F" w:rsidRDefault="00312A1F" w:rsidP="007C39EB">
            <w:pPr>
              <w:pStyle w:val="FactsheetHeading"/>
              <w:tabs>
                <w:tab w:val="right" w:pos="10197"/>
              </w:tabs>
              <w:spacing w:before="40" w:after="40"/>
              <w:rPr>
                <w:rFonts w:cs="Arial"/>
                <w:color w:val="auto"/>
                <w:sz w:val="20"/>
                <w:szCs w:val="20"/>
              </w:rPr>
            </w:pPr>
          </w:p>
        </w:tc>
      </w:tr>
      <w:tr w:rsidR="00312A1F" w14:paraId="6118872E" w14:textId="77777777" w:rsidTr="00312A1F">
        <w:tc>
          <w:tcPr>
            <w:tcW w:w="1985" w:type="dxa"/>
            <w:tcBorders>
              <w:top w:val="single" w:sz="4" w:space="0" w:color="BFBFBF"/>
              <w:left w:val="nil"/>
              <w:bottom w:val="single" w:sz="4" w:space="0" w:color="BFBFBF"/>
              <w:right w:val="nil"/>
            </w:tcBorders>
            <w:hideMark/>
          </w:tcPr>
          <w:p w14:paraId="0F677A5C"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Location*:</w:t>
            </w:r>
          </w:p>
        </w:tc>
        <w:tc>
          <w:tcPr>
            <w:tcW w:w="2551" w:type="dxa"/>
            <w:gridSpan w:val="2"/>
            <w:tcBorders>
              <w:top w:val="single" w:sz="4" w:space="0" w:color="BFBFBF"/>
              <w:left w:val="nil"/>
              <w:bottom w:val="single" w:sz="4" w:space="0" w:color="BFBFBF"/>
              <w:right w:val="nil"/>
            </w:tcBorders>
            <w:hideMark/>
          </w:tcPr>
          <w:p w14:paraId="0FCDE6F4" w14:textId="454998E8" w:rsidR="00312A1F" w:rsidRDefault="00DC4B1C" w:rsidP="007C39EB">
            <w:pPr>
              <w:pStyle w:val="FactsheetHeading"/>
              <w:tabs>
                <w:tab w:val="right" w:pos="10197"/>
              </w:tabs>
              <w:spacing w:before="40" w:after="40"/>
              <w:rPr>
                <w:rFonts w:cs="Arial"/>
                <w:color w:val="auto"/>
                <w:sz w:val="20"/>
                <w:szCs w:val="20"/>
              </w:rPr>
            </w:pPr>
            <w:r w:rsidRPr="00DC4B1C">
              <w:rPr>
                <w:rFonts w:cs="Arial"/>
                <w:color w:val="auto"/>
                <w:sz w:val="20"/>
                <w:szCs w:val="20"/>
              </w:rPr>
              <w:t>Statewide Service operating from RBWH.</w:t>
            </w:r>
          </w:p>
        </w:tc>
        <w:tc>
          <w:tcPr>
            <w:tcW w:w="2268" w:type="dxa"/>
            <w:tcBorders>
              <w:top w:val="single" w:sz="4" w:space="0" w:color="BFBFBF"/>
              <w:left w:val="nil"/>
              <w:bottom w:val="single" w:sz="4" w:space="0" w:color="BFBFBF"/>
              <w:right w:val="nil"/>
            </w:tcBorders>
            <w:hideMark/>
          </w:tcPr>
          <w:p w14:paraId="6921D5B6"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Unit/Department:</w:t>
            </w:r>
          </w:p>
        </w:tc>
        <w:tc>
          <w:tcPr>
            <w:tcW w:w="3393" w:type="dxa"/>
            <w:tcBorders>
              <w:top w:val="single" w:sz="4" w:space="0" w:color="BFBFBF"/>
              <w:left w:val="nil"/>
              <w:bottom w:val="single" w:sz="4" w:space="0" w:color="BFBFBF"/>
              <w:right w:val="nil"/>
            </w:tcBorders>
            <w:hideMark/>
          </w:tcPr>
          <w:p w14:paraId="5210945D" w14:textId="0D019494" w:rsidR="00312A1F" w:rsidRDefault="00B52CFC" w:rsidP="007C39EB">
            <w:pPr>
              <w:pStyle w:val="FactsheetHeading"/>
              <w:tabs>
                <w:tab w:val="right" w:pos="10197"/>
              </w:tabs>
              <w:spacing w:before="40" w:after="40"/>
              <w:rPr>
                <w:rFonts w:cs="Arial"/>
                <w:color w:val="auto"/>
                <w:sz w:val="20"/>
                <w:szCs w:val="20"/>
              </w:rPr>
            </w:pPr>
            <w:r>
              <w:rPr>
                <w:rFonts w:cs="Arial"/>
                <w:color w:val="auto"/>
                <w:sz w:val="20"/>
                <w:szCs w:val="20"/>
              </w:rPr>
              <w:t>Neurology</w:t>
            </w:r>
          </w:p>
        </w:tc>
      </w:tr>
      <w:tr w:rsidR="00312A1F" w14:paraId="5983D7EA" w14:textId="77777777" w:rsidTr="00312A1F">
        <w:tc>
          <w:tcPr>
            <w:tcW w:w="1985" w:type="dxa"/>
            <w:tcBorders>
              <w:top w:val="single" w:sz="4" w:space="0" w:color="BFBFBF"/>
              <w:left w:val="nil"/>
              <w:bottom w:val="single" w:sz="4" w:space="0" w:color="BFBFBF"/>
              <w:right w:val="nil"/>
            </w:tcBorders>
            <w:hideMark/>
          </w:tcPr>
          <w:p w14:paraId="0506CFEC"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Status:</w:t>
            </w:r>
          </w:p>
        </w:tc>
        <w:tc>
          <w:tcPr>
            <w:tcW w:w="2551" w:type="dxa"/>
            <w:gridSpan w:val="2"/>
            <w:tcBorders>
              <w:top w:val="single" w:sz="4" w:space="0" w:color="BFBFBF"/>
              <w:left w:val="nil"/>
              <w:bottom w:val="single" w:sz="4" w:space="0" w:color="BFBFBF"/>
              <w:right w:val="nil"/>
            </w:tcBorders>
            <w:hideMark/>
          </w:tcPr>
          <w:p w14:paraId="2BB36D65" w14:textId="77777777" w:rsidR="00312A1F" w:rsidRDefault="00DC4B1C" w:rsidP="007C39EB">
            <w:pPr>
              <w:pStyle w:val="FactsheetHeading"/>
              <w:tabs>
                <w:tab w:val="right" w:pos="10197"/>
              </w:tabs>
              <w:spacing w:before="40" w:after="40"/>
              <w:rPr>
                <w:rFonts w:cs="Arial"/>
                <w:color w:val="auto"/>
                <w:sz w:val="20"/>
                <w:szCs w:val="20"/>
              </w:rPr>
            </w:pPr>
            <w:r>
              <w:rPr>
                <w:rFonts w:cs="Arial"/>
                <w:color w:val="auto"/>
                <w:sz w:val="20"/>
                <w:szCs w:val="20"/>
              </w:rPr>
              <w:t>Fixed-Term Temporary</w:t>
            </w:r>
          </w:p>
          <w:p w14:paraId="71634CE6" w14:textId="282EFF61" w:rsidR="00DC4B1C" w:rsidRDefault="00DC4B1C" w:rsidP="007C39EB">
            <w:pPr>
              <w:pStyle w:val="FactsheetHeading"/>
              <w:tabs>
                <w:tab w:val="right" w:pos="10197"/>
              </w:tabs>
              <w:spacing w:before="40" w:after="40"/>
              <w:rPr>
                <w:rFonts w:cs="Arial"/>
                <w:color w:val="auto"/>
                <w:sz w:val="20"/>
                <w:szCs w:val="20"/>
              </w:rPr>
            </w:pPr>
            <w:r w:rsidRPr="00D8671C">
              <w:rPr>
                <w:rFonts w:cs="Arial"/>
                <w:color w:val="auto"/>
                <w:sz w:val="20"/>
                <w:szCs w:val="20"/>
              </w:rPr>
              <w:t xml:space="preserve">Full Time </w:t>
            </w:r>
            <w:r w:rsidR="00D8671C">
              <w:rPr>
                <w:rFonts w:cs="Arial"/>
                <w:color w:val="auto"/>
                <w:sz w:val="20"/>
                <w:szCs w:val="20"/>
              </w:rPr>
              <w:t xml:space="preserve">up to </w:t>
            </w:r>
            <w:r w:rsidRPr="00D8671C">
              <w:rPr>
                <w:rFonts w:cs="Arial"/>
                <w:color w:val="auto"/>
                <w:sz w:val="20"/>
                <w:szCs w:val="20"/>
              </w:rPr>
              <w:t xml:space="preserve">12 months </w:t>
            </w:r>
            <w:r w:rsidR="00D8671C">
              <w:rPr>
                <w:rFonts w:cs="Arial"/>
                <w:color w:val="auto"/>
                <w:sz w:val="20"/>
                <w:szCs w:val="20"/>
              </w:rPr>
              <w:t>Commencing February 202</w:t>
            </w:r>
            <w:r w:rsidR="00D8671C">
              <w:rPr>
                <w:rFonts w:cs="Arial"/>
                <w:color w:val="auto"/>
                <w:sz w:val="20"/>
                <w:szCs w:val="20"/>
              </w:rPr>
              <w:t>5</w:t>
            </w:r>
          </w:p>
        </w:tc>
        <w:tc>
          <w:tcPr>
            <w:tcW w:w="2268" w:type="dxa"/>
            <w:tcBorders>
              <w:top w:val="single" w:sz="4" w:space="0" w:color="BFBFBF"/>
              <w:left w:val="nil"/>
              <w:bottom w:val="single" w:sz="4" w:space="0" w:color="BFBFBF"/>
              <w:right w:val="nil"/>
            </w:tcBorders>
            <w:hideMark/>
          </w:tcPr>
          <w:p w14:paraId="098A0E4A"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Classification:</w:t>
            </w:r>
          </w:p>
        </w:tc>
        <w:tc>
          <w:tcPr>
            <w:tcW w:w="3393" w:type="dxa"/>
            <w:tcBorders>
              <w:top w:val="single" w:sz="4" w:space="0" w:color="BFBFBF"/>
              <w:left w:val="nil"/>
              <w:bottom w:val="single" w:sz="4" w:space="0" w:color="BFBFBF"/>
              <w:right w:val="nil"/>
            </w:tcBorders>
            <w:hideMark/>
          </w:tcPr>
          <w:p w14:paraId="1052F4BE" w14:textId="0674A5E5" w:rsidR="00312A1F" w:rsidRDefault="0079585D" w:rsidP="007C39EB">
            <w:pPr>
              <w:pStyle w:val="FactsheetHeading"/>
              <w:tabs>
                <w:tab w:val="right" w:pos="10197"/>
              </w:tabs>
              <w:spacing w:before="40" w:after="40"/>
              <w:rPr>
                <w:rFonts w:cs="Arial"/>
                <w:color w:val="auto"/>
                <w:sz w:val="20"/>
                <w:szCs w:val="20"/>
              </w:rPr>
            </w:pPr>
            <w:r>
              <w:rPr>
                <w:rFonts w:cs="Arial"/>
                <w:color w:val="auto"/>
                <w:sz w:val="20"/>
                <w:szCs w:val="20"/>
              </w:rPr>
              <w:t>L4-L9</w:t>
            </w:r>
            <w:r w:rsidR="00DC4B1C">
              <w:rPr>
                <w:rFonts w:cs="Arial"/>
                <w:color w:val="auto"/>
                <w:sz w:val="20"/>
                <w:szCs w:val="20"/>
              </w:rPr>
              <w:t xml:space="preserve"> or </w:t>
            </w:r>
            <w:r>
              <w:rPr>
                <w:rFonts w:cs="Arial"/>
                <w:color w:val="auto"/>
                <w:sz w:val="20"/>
                <w:szCs w:val="20"/>
              </w:rPr>
              <w:t>L10-L13</w:t>
            </w:r>
          </w:p>
        </w:tc>
      </w:tr>
      <w:tr w:rsidR="00312A1F" w14:paraId="6EA0B409" w14:textId="77777777" w:rsidTr="00312A1F">
        <w:tc>
          <w:tcPr>
            <w:tcW w:w="1985" w:type="dxa"/>
            <w:tcBorders>
              <w:top w:val="single" w:sz="4" w:space="0" w:color="BFBFBF"/>
              <w:left w:val="nil"/>
              <w:bottom w:val="single" w:sz="4" w:space="0" w:color="BFBFBF"/>
              <w:right w:val="nil"/>
            </w:tcBorders>
            <w:hideMark/>
          </w:tcPr>
          <w:p w14:paraId="31FF235F"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Salary Range:</w:t>
            </w:r>
          </w:p>
        </w:tc>
        <w:tc>
          <w:tcPr>
            <w:tcW w:w="2551" w:type="dxa"/>
            <w:gridSpan w:val="2"/>
            <w:tcBorders>
              <w:top w:val="single" w:sz="4" w:space="0" w:color="BFBFBF"/>
              <w:left w:val="nil"/>
              <w:bottom w:val="single" w:sz="4" w:space="0" w:color="BFBFBF"/>
              <w:right w:val="nil"/>
            </w:tcBorders>
            <w:hideMark/>
          </w:tcPr>
          <w:p w14:paraId="23FCB48D" w14:textId="77777777" w:rsidR="00312A1F" w:rsidRDefault="00312A1F" w:rsidP="007C39EB">
            <w:pPr>
              <w:pStyle w:val="FactsheetHeading"/>
              <w:tabs>
                <w:tab w:val="right" w:pos="10197"/>
              </w:tabs>
              <w:spacing w:before="40" w:after="40"/>
              <w:rPr>
                <w:rFonts w:cs="Arial"/>
                <w:color w:val="auto"/>
                <w:sz w:val="20"/>
                <w:szCs w:val="20"/>
              </w:rPr>
            </w:pPr>
            <w:r>
              <w:rPr>
                <w:rFonts w:cs="Arial"/>
                <w:color w:val="auto"/>
                <w:sz w:val="20"/>
                <w:szCs w:val="20"/>
              </w:rPr>
              <w:t>$</w:t>
            </w: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fldChar w:fldCharType="end"/>
            </w:r>
            <w:r>
              <w:rPr>
                <w:rFonts w:cs="Arial"/>
                <w:color w:val="auto"/>
                <w:sz w:val="20"/>
                <w:szCs w:val="20"/>
              </w:rPr>
              <w:t xml:space="preserve"> - $</w:t>
            </w: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fldChar w:fldCharType="end"/>
            </w:r>
          </w:p>
          <w:p w14:paraId="30A7522D" w14:textId="6AF7A416" w:rsidR="00312A1F" w:rsidRDefault="00312A1F" w:rsidP="007C39EB">
            <w:pPr>
              <w:pStyle w:val="FactsheetHeading"/>
              <w:tabs>
                <w:tab w:val="right" w:pos="10197"/>
              </w:tabs>
              <w:spacing w:before="40" w:after="40"/>
              <w:rPr>
                <w:rFonts w:cs="Arial"/>
                <w:b/>
                <w:bCs w:val="0"/>
                <w:color w:val="auto"/>
                <w:sz w:val="20"/>
                <w:szCs w:val="20"/>
              </w:rPr>
            </w:pPr>
            <w:r>
              <w:rPr>
                <w:rFonts w:cs="Arial"/>
                <w:sz w:val="20"/>
              </w:rPr>
              <w:t>(</w:t>
            </w:r>
            <w:proofErr w:type="gramStart"/>
            <w:r>
              <w:rPr>
                <w:rFonts w:cs="Arial"/>
                <w:color w:val="auto"/>
                <w:sz w:val="20"/>
              </w:rPr>
              <w:t>plus</w:t>
            </w:r>
            <w:proofErr w:type="gramEnd"/>
            <w:r>
              <w:rPr>
                <w:rFonts w:cs="Arial"/>
                <w:color w:val="auto"/>
                <w:sz w:val="20"/>
              </w:rPr>
              <w:t xml:space="preserve"> superannuation and leave loading benefits) </w:t>
            </w:r>
          </w:p>
        </w:tc>
        <w:tc>
          <w:tcPr>
            <w:tcW w:w="2268" w:type="dxa"/>
            <w:tcBorders>
              <w:top w:val="single" w:sz="4" w:space="0" w:color="BFBFBF"/>
              <w:left w:val="nil"/>
              <w:bottom w:val="single" w:sz="4" w:space="0" w:color="BFBFBF"/>
              <w:right w:val="nil"/>
            </w:tcBorders>
            <w:hideMark/>
          </w:tcPr>
          <w:p w14:paraId="1E0850BB"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Closing Date:</w:t>
            </w:r>
          </w:p>
        </w:tc>
        <w:tc>
          <w:tcPr>
            <w:tcW w:w="3393" w:type="dxa"/>
            <w:tcBorders>
              <w:top w:val="single" w:sz="4" w:space="0" w:color="BFBFBF"/>
              <w:left w:val="nil"/>
              <w:bottom w:val="single" w:sz="4" w:space="0" w:color="BFBFBF"/>
              <w:right w:val="nil"/>
            </w:tcBorders>
            <w:hideMark/>
          </w:tcPr>
          <w:p w14:paraId="400DDB3E" w14:textId="77777777" w:rsidR="00312A1F" w:rsidRDefault="00312A1F" w:rsidP="007C39EB">
            <w:pPr>
              <w:pStyle w:val="FactsheetHeading"/>
              <w:tabs>
                <w:tab w:val="right" w:pos="10197"/>
              </w:tabs>
              <w:spacing w:before="40" w:after="40"/>
              <w:rPr>
                <w:rFonts w:cs="Arial"/>
                <w:color w:val="auto"/>
                <w:sz w:val="20"/>
                <w:szCs w:val="20"/>
              </w:rPr>
            </w:pP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color w:val="auto"/>
                <w:sz w:val="20"/>
                <w:szCs w:val="20"/>
              </w:rPr>
              <w:fldChar w:fldCharType="end"/>
            </w:r>
          </w:p>
        </w:tc>
      </w:tr>
      <w:tr w:rsidR="00312A1F" w14:paraId="60F4F876" w14:textId="77777777" w:rsidTr="00312A1F">
        <w:tc>
          <w:tcPr>
            <w:tcW w:w="1985" w:type="dxa"/>
            <w:tcBorders>
              <w:top w:val="single" w:sz="4" w:space="0" w:color="BFBFBF"/>
              <w:left w:val="nil"/>
              <w:bottom w:val="single" w:sz="4" w:space="0" w:color="BFBFBF"/>
              <w:right w:val="nil"/>
            </w:tcBorders>
            <w:hideMark/>
          </w:tcPr>
          <w:p w14:paraId="2627A74C"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Contact name:</w:t>
            </w:r>
          </w:p>
        </w:tc>
        <w:tc>
          <w:tcPr>
            <w:tcW w:w="2551" w:type="dxa"/>
            <w:gridSpan w:val="2"/>
            <w:tcBorders>
              <w:top w:val="single" w:sz="4" w:space="0" w:color="BFBFBF"/>
              <w:left w:val="nil"/>
              <w:bottom w:val="single" w:sz="4" w:space="0" w:color="BFBFBF"/>
              <w:right w:val="nil"/>
            </w:tcBorders>
            <w:hideMark/>
          </w:tcPr>
          <w:p w14:paraId="5A49C2FC" w14:textId="09D4A8EE" w:rsidR="00312A1F" w:rsidRDefault="00DC4B1C" w:rsidP="007C39EB">
            <w:pPr>
              <w:pStyle w:val="FactsheetHeading"/>
              <w:tabs>
                <w:tab w:val="right" w:pos="10197"/>
              </w:tabs>
              <w:spacing w:before="40" w:after="40"/>
              <w:rPr>
                <w:rFonts w:cs="Arial"/>
                <w:color w:val="auto"/>
                <w:sz w:val="20"/>
                <w:szCs w:val="20"/>
              </w:rPr>
            </w:pPr>
            <w:r>
              <w:rPr>
                <w:rFonts w:cs="Arial"/>
                <w:color w:val="auto"/>
                <w:sz w:val="20"/>
                <w:szCs w:val="20"/>
              </w:rPr>
              <w:t>Dr Claire Muller</w:t>
            </w:r>
          </w:p>
        </w:tc>
        <w:tc>
          <w:tcPr>
            <w:tcW w:w="2268" w:type="dxa"/>
            <w:tcBorders>
              <w:top w:val="single" w:sz="4" w:space="0" w:color="BFBFBF"/>
              <w:left w:val="nil"/>
              <w:bottom w:val="single" w:sz="4" w:space="0" w:color="BFBFBF"/>
              <w:right w:val="nil"/>
            </w:tcBorders>
            <w:hideMark/>
          </w:tcPr>
          <w:p w14:paraId="5ACA161C"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 xml:space="preserve">Contact number: </w:t>
            </w:r>
          </w:p>
        </w:tc>
        <w:tc>
          <w:tcPr>
            <w:tcW w:w="3393" w:type="dxa"/>
            <w:tcBorders>
              <w:top w:val="single" w:sz="4" w:space="0" w:color="BFBFBF"/>
              <w:left w:val="nil"/>
              <w:bottom w:val="single" w:sz="4" w:space="0" w:color="BFBFBF"/>
              <w:right w:val="nil"/>
            </w:tcBorders>
            <w:hideMark/>
          </w:tcPr>
          <w:p w14:paraId="15BF24D7" w14:textId="4BE56FA9" w:rsidR="00312A1F" w:rsidRDefault="0079585D" w:rsidP="007C39EB">
            <w:pPr>
              <w:pStyle w:val="FactsheetHeading"/>
              <w:tabs>
                <w:tab w:val="right" w:pos="10197"/>
              </w:tabs>
              <w:spacing w:before="40" w:after="40"/>
              <w:rPr>
                <w:rFonts w:cs="Arial"/>
                <w:color w:val="auto"/>
                <w:sz w:val="20"/>
                <w:szCs w:val="20"/>
              </w:rPr>
            </w:pPr>
            <w:r>
              <w:rPr>
                <w:rFonts w:cs="Arial"/>
                <w:color w:val="auto"/>
                <w:sz w:val="20"/>
                <w:szCs w:val="20"/>
              </w:rPr>
              <w:t xml:space="preserve">(07) 3646 </w:t>
            </w:r>
            <w:r w:rsidRPr="00D8671C">
              <w:rPr>
                <w:rFonts w:cs="Arial"/>
                <w:color w:val="auto"/>
                <w:sz w:val="20"/>
                <w:szCs w:val="20"/>
              </w:rPr>
              <w:t>5882</w:t>
            </w:r>
          </w:p>
        </w:tc>
      </w:tr>
      <w:tr w:rsidR="00312A1F" w14:paraId="0D1FDE40" w14:textId="77777777" w:rsidTr="00312A1F">
        <w:tc>
          <w:tcPr>
            <w:tcW w:w="2209" w:type="dxa"/>
            <w:gridSpan w:val="2"/>
            <w:tcBorders>
              <w:top w:val="single" w:sz="4" w:space="0" w:color="BFBFBF"/>
              <w:left w:val="nil"/>
              <w:bottom w:val="single" w:sz="4" w:space="0" w:color="BFBFBF"/>
              <w:right w:val="nil"/>
            </w:tcBorders>
            <w:hideMark/>
          </w:tcPr>
          <w:p w14:paraId="30ECB517" w14:textId="77777777" w:rsidR="00312A1F" w:rsidRDefault="00312A1F" w:rsidP="007C39EB">
            <w:pPr>
              <w:pStyle w:val="FactsheetHeading"/>
              <w:tabs>
                <w:tab w:val="right" w:pos="10197"/>
              </w:tabs>
              <w:spacing w:before="40" w:after="40"/>
              <w:rPr>
                <w:b/>
                <w:color w:val="auto"/>
                <w:sz w:val="20"/>
                <w:szCs w:val="20"/>
              </w:rPr>
            </w:pPr>
            <w:r>
              <w:rPr>
                <w:b/>
                <w:color w:val="auto"/>
                <w:sz w:val="20"/>
                <w:szCs w:val="20"/>
              </w:rPr>
              <w:t>Online applications:</w:t>
            </w:r>
          </w:p>
        </w:tc>
        <w:tc>
          <w:tcPr>
            <w:tcW w:w="7988" w:type="dxa"/>
            <w:gridSpan w:val="3"/>
            <w:tcBorders>
              <w:top w:val="single" w:sz="4" w:space="0" w:color="BFBFBF"/>
              <w:left w:val="nil"/>
              <w:bottom w:val="single" w:sz="4" w:space="0" w:color="BFBFBF"/>
              <w:right w:val="nil"/>
            </w:tcBorders>
            <w:hideMark/>
          </w:tcPr>
          <w:p w14:paraId="03EBEE41" w14:textId="6F64F1AC" w:rsidR="00312A1F" w:rsidRDefault="004D6DC2" w:rsidP="007C39EB">
            <w:pPr>
              <w:pStyle w:val="FactsheetHeading"/>
              <w:tabs>
                <w:tab w:val="right" w:pos="10197"/>
              </w:tabs>
              <w:spacing w:before="40" w:after="40"/>
              <w:rPr>
                <w:color w:val="auto"/>
                <w:sz w:val="20"/>
                <w:szCs w:val="20"/>
              </w:rPr>
            </w:pPr>
            <w:hyperlink r:id="rId13" w:history="1">
              <w:r w:rsidR="001E1E7E" w:rsidRPr="00563737">
                <w:rPr>
                  <w:rStyle w:val="Hyperlink"/>
                  <w:rFonts w:cs="Arial"/>
                  <w:sz w:val="20"/>
                </w:rPr>
                <w:t>www.smartjobs.qld.gov.au</w:t>
              </w:r>
            </w:hyperlink>
          </w:p>
        </w:tc>
      </w:tr>
    </w:tbl>
    <w:p w14:paraId="15ECB4E7" w14:textId="77777777" w:rsidR="00643332" w:rsidRDefault="00643332" w:rsidP="007C39EB">
      <w:pPr>
        <w:rPr>
          <w:rFonts w:cs="Arial-BoldMT"/>
          <w:bCs/>
          <w:sz w:val="16"/>
          <w:szCs w:val="16"/>
          <w:lang w:bidi="en-US"/>
        </w:rPr>
      </w:pPr>
    </w:p>
    <w:p w14:paraId="34E4B000" w14:textId="77777777" w:rsidR="00643332" w:rsidRDefault="00643332" w:rsidP="007C39EB">
      <w:pPr>
        <w:pStyle w:val="FactsheetHeading"/>
        <w:tabs>
          <w:tab w:val="right" w:pos="10197"/>
        </w:tabs>
        <w:spacing w:before="0" w:after="0"/>
        <w:rPr>
          <w:color w:val="auto"/>
          <w:sz w:val="16"/>
          <w:szCs w:val="16"/>
        </w:rPr>
      </w:pPr>
      <w:r>
        <w:rPr>
          <w:color w:val="auto"/>
          <w:sz w:val="16"/>
          <w:szCs w:val="16"/>
        </w:rPr>
        <w:t xml:space="preserve">* </w:t>
      </w:r>
      <w:r>
        <w:rPr>
          <w:rFonts w:cs="Arial"/>
          <w:color w:val="auto"/>
          <w:sz w:val="16"/>
          <w:szCs w:val="16"/>
        </w:rPr>
        <w:t xml:space="preserve">Please </w:t>
      </w:r>
      <w:proofErr w:type="gramStart"/>
      <w:r>
        <w:rPr>
          <w:rFonts w:cs="Arial"/>
          <w:color w:val="auto"/>
          <w:sz w:val="16"/>
          <w:szCs w:val="16"/>
        </w:rPr>
        <w:t>note:</w:t>
      </w:r>
      <w:proofErr w:type="gramEnd"/>
      <w:r>
        <w:rPr>
          <w:rFonts w:cs="Arial"/>
          <w:color w:val="auto"/>
          <w:sz w:val="16"/>
          <w:szCs w:val="16"/>
        </w:rPr>
        <w:t xml:space="preserve"> there may be a requirement to work at other facilities located across Metro North Health.</w:t>
      </w:r>
    </w:p>
    <w:p w14:paraId="4440BEAD" w14:textId="77777777" w:rsidR="00643332" w:rsidRDefault="00643332" w:rsidP="007C39EB">
      <w:pPr>
        <w:overflowPunct w:val="0"/>
        <w:autoSpaceDE w:val="0"/>
        <w:autoSpaceDN w:val="0"/>
        <w:adjustRightInd w:val="0"/>
        <w:textAlignment w:val="baseline"/>
        <w:rPr>
          <w:rFonts w:cs="Arial"/>
          <w:sz w:val="16"/>
          <w:szCs w:val="16"/>
        </w:rPr>
      </w:pPr>
      <w:r>
        <w:rPr>
          <w:rFonts w:cs="Arial-BoldMT"/>
          <w:bCs/>
          <w:sz w:val="16"/>
          <w:szCs w:val="16"/>
          <w:lang w:bidi="en-US"/>
        </w:rPr>
        <w:t xml:space="preserve">**Future recurring vacancies may also be filled through this recruitment process at any location across </w:t>
      </w:r>
      <w:r>
        <w:rPr>
          <w:rFonts w:cs="Arial"/>
          <w:sz w:val="16"/>
          <w:szCs w:val="16"/>
        </w:rPr>
        <w:t>Metro North Health.</w:t>
      </w:r>
    </w:p>
    <w:p w14:paraId="5D241FF9" w14:textId="56DD905C" w:rsidR="00643332" w:rsidRPr="00952F94" w:rsidRDefault="00643332" w:rsidP="007C39EB">
      <w:pPr>
        <w:pStyle w:val="FactsheetHeading"/>
        <w:tabs>
          <w:tab w:val="right" w:pos="10197"/>
        </w:tabs>
        <w:spacing w:before="0" w:after="0"/>
        <w:rPr>
          <w:rFonts w:cs="Arial"/>
          <w:color w:val="auto"/>
          <w:sz w:val="16"/>
          <w:szCs w:val="16"/>
        </w:rPr>
      </w:pPr>
      <w:r>
        <w:rPr>
          <w:rFonts w:cs="Arial"/>
          <w:color w:val="auto"/>
          <w:sz w:val="16"/>
          <w:szCs w:val="16"/>
        </w:rPr>
        <w:t>***Applications from third parties will not be accepted.</w:t>
      </w:r>
    </w:p>
    <w:p w14:paraId="5D31553F" w14:textId="354D7EC6" w:rsidR="00643332" w:rsidRPr="00233EF2" w:rsidRDefault="00643332" w:rsidP="007C39EB">
      <w:pPr>
        <w:pStyle w:val="Heading2"/>
        <w:rPr>
          <w:color w:val="00778B"/>
          <w:sz w:val="20"/>
          <w:szCs w:val="20"/>
        </w:rPr>
      </w:pPr>
      <w:bookmarkStart w:id="1" w:name="_Hlk141446664"/>
      <w:r>
        <w:rPr>
          <w:color w:val="00778B"/>
          <w:sz w:val="20"/>
          <w:szCs w:val="20"/>
        </w:rPr>
        <w:t xml:space="preserve">Purpose of the role </w:t>
      </w:r>
    </w:p>
    <w:p w14:paraId="463593A9" w14:textId="1E6EA56E" w:rsidR="00643332" w:rsidRPr="00070809" w:rsidRDefault="00B52CFC" w:rsidP="007C39EB">
      <w:pPr>
        <w:numPr>
          <w:ilvl w:val="0"/>
          <w:numId w:val="18"/>
        </w:numPr>
        <w:rPr>
          <w:rFonts w:cs="Arial"/>
        </w:rPr>
      </w:pPr>
      <w:r>
        <w:rPr>
          <w:rFonts w:cs="Arial"/>
        </w:rPr>
        <w:t xml:space="preserve">To </w:t>
      </w:r>
      <w:r w:rsidR="003F3AC3">
        <w:rPr>
          <w:rFonts w:cs="Arial"/>
        </w:rPr>
        <w:t>participate in</w:t>
      </w:r>
      <w:r w:rsidR="009C02A1">
        <w:rPr>
          <w:rFonts w:cs="Arial"/>
        </w:rPr>
        <w:t xml:space="preserve"> the</w:t>
      </w:r>
      <w:r w:rsidR="003F3AC3">
        <w:rPr>
          <w:rFonts w:cs="Arial"/>
        </w:rPr>
        <w:t xml:space="preserve"> </w:t>
      </w:r>
      <w:r>
        <w:rPr>
          <w:rFonts w:cs="Arial"/>
        </w:rPr>
        <w:t xml:space="preserve">Queensland </w:t>
      </w:r>
      <w:proofErr w:type="spellStart"/>
      <w:r>
        <w:rPr>
          <w:rFonts w:cs="Arial"/>
        </w:rPr>
        <w:t>Telestroke</w:t>
      </w:r>
      <w:proofErr w:type="spellEnd"/>
      <w:r w:rsidR="009C02A1">
        <w:rPr>
          <w:rFonts w:cs="Arial"/>
        </w:rPr>
        <w:t xml:space="preserve"> Service</w:t>
      </w:r>
      <w:r w:rsidR="00296DC2">
        <w:rPr>
          <w:rFonts w:cs="Arial"/>
        </w:rPr>
        <w:t xml:space="preserve"> and continue development of consultant level stroke skills.</w:t>
      </w:r>
    </w:p>
    <w:p w14:paraId="0DD1FB61" w14:textId="24FC1745" w:rsidR="007531A7" w:rsidRPr="00070809" w:rsidRDefault="00643332" w:rsidP="007C39EB">
      <w:pPr>
        <w:spacing w:before="280" w:after="180"/>
        <w:rPr>
          <w:rFonts w:cs="Arial"/>
          <w:color w:val="FF0000"/>
        </w:rPr>
      </w:pPr>
      <w:r>
        <w:rPr>
          <w:rFonts w:cs="Arial"/>
          <w:b/>
          <w:bCs/>
          <w:iCs/>
          <w:color w:val="00778B"/>
        </w:rPr>
        <w:t xml:space="preserve">Context and Delegations </w:t>
      </w:r>
    </w:p>
    <w:p w14:paraId="59C9C419" w14:textId="094E40A7" w:rsidR="00643332" w:rsidRDefault="00643332" w:rsidP="007C39EB">
      <w:pPr>
        <w:numPr>
          <w:ilvl w:val="0"/>
          <w:numId w:val="18"/>
        </w:numPr>
        <w:rPr>
          <w:rFonts w:cs="Arial"/>
        </w:rPr>
      </w:pPr>
      <w:r>
        <w:rPr>
          <w:rFonts w:cs="Arial"/>
        </w:rPr>
        <w:t xml:space="preserve">This role reports directly to </w:t>
      </w:r>
      <w:r w:rsidR="00B52CFC">
        <w:rPr>
          <w:rFonts w:cs="Arial"/>
        </w:rPr>
        <w:t xml:space="preserve">the </w:t>
      </w:r>
      <w:r w:rsidR="003F3AC3">
        <w:rPr>
          <w:rFonts w:cs="Arial"/>
        </w:rPr>
        <w:t xml:space="preserve">Clinical Director, Queensland </w:t>
      </w:r>
      <w:proofErr w:type="spellStart"/>
      <w:r w:rsidR="003F3AC3">
        <w:rPr>
          <w:rFonts w:cs="Arial"/>
        </w:rPr>
        <w:t>Telestroke</w:t>
      </w:r>
      <w:proofErr w:type="spellEnd"/>
      <w:r w:rsidR="009C02A1">
        <w:rPr>
          <w:rFonts w:cs="Arial"/>
        </w:rPr>
        <w:t xml:space="preserve"> Service</w:t>
      </w:r>
      <w:r w:rsidR="004D6DC2">
        <w:rPr>
          <w:rFonts w:cs="Arial"/>
        </w:rPr>
        <w:t>.</w:t>
      </w:r>
    </w:p>
    <w:p w14:paraId="7EF04700" w14:textId="3F3C3359" w:rsidR="00DC4B1C" w:rsidRPr="00E8633E" w:rsidRDefault="00DC4B1C" w:rsidP="00DC4B1C">
      <w:pPr>
        <w:numPr>
          <w:ilvl w:val="0"/>
          <w:numId w:val="18"/>
        </w:numPr>
        <w:rPr>
          <w:rFonts w:cs="Arial"/>
        </w:rPr>
      </w:pPr>
      <w:r w:rsidRPr="00E8633E">
        <w:rPr>
          <w:rFonts w:ascii="Arial" w:hAnsi="Arial" w:cs="Arial"/>
          <w:szCs w:val="20"/>
        </w:rPr>
        <w:t xml:space="preserve">This role has a professional reporting line to </w:t>
      </w:r>
      <w:r w:rsidRPr="00E8633E">
        <w:rPr>
          <w:rFonts w:cs="Arial"/>
        </w:rPr>
        <w:t>the Chief Medical Officer, Royal Brisbane and Women’s Hospital</w:t>
      </w:r>
      <w:r>
        <w:rPr>
          <w:rFonts w:cs="Arial"/>
        </w:rPr>
        <w:t>.</w:t>
      </w:r>
    </w:p>
    <w:p w14:paraId="178A4F8C" w14:textId="629ACB90" w:rsidR="00643332" w:rsidRPr="003F3AC3" w:rsidRDefault="00643332" w:rsidP="005863BE">
      <w:pPr>
        <w:numPr>
          <w:ilvl w:val="0"/>
          <w:numId w:val="18"/>
        </w:numPr>
        <w:spacing w:line="254" w:lineRule="auto"/>
        <w:contextualSpacing/>
        <w:rPr>
          <w:rFonts w:ascii="Arial" w:hAnsi="Arial" w:cs="Arial"/>
          <w:szCs w:val="20"/>
        </w:rPr>
      </w:pPr>
      <w:r w:rsidRPr="003F3AC3">
        <w:rPr>
          <w:rFonts w:ascii="Arial" w:hAnsi="Arial" w:cs="Arial"/>
          <w:szCs w:val="20"/>
        </w:rPr>
        <w:t>This role will work directly with</w:t>
      </w:r>
      <w:r w:rsidR="00B52CFC" w:rsidRPr="003F3AC3">
        <w:rPr>
          <w:rFonts w:ascii="Arial" w:hAnsi="Arial" w:cs="Arial"/>
          <w:szCs w:val="20"/>
        </w:rPr>
        <w:t xml:space="preserve"> colleagues within the Stroke service at the Royal Brisbane and Women’s Hospital</w:t>
      </w:r>
      <w:r w:rsidR="004D6DC2">
        <w:rPr>
          <w:rFonts w:ascii="Arial" w:hAnsi="Arial" w:cs="Arial"/>
          <w:szCs w:val="20"/>
        </w:rPr>
        <w:t>.</w:t>
      </w:r>
      <w:r w:rsidR="00B52CFC" w:rsidRPr="003F3AC3">
        <w:rPr>
          <w:rFonts w:ascii="Arial" w:hAnsi="Arial" w:cs="Arial"/>
          <w:szCs w:val="20"/>
        </w:rPr>
        <w:t xml:space="preserve"> and clinical staff treating stroke in various hospitals in Queensland via </w:t>
      </w:r>
      <w:r w:rsidR="009C02A1">
        <w:rPr>
          <w:rFonts w:ascii="Arial" w:hAnsi="Arial" w:cs="Arial"/>
          <w:szCs w:val="20"/>
        </w:rPr>
        <w:t xml:space="preserve">the </w:t>
      </w:r>
      <w:r w:rsidR="00B52CFC" w:rsidRPr="003F3AC3">
        <w:rPr>
          <w:rFonts w:ascii="Arial" w:hAnsi="Arial" w:cs="Arial"/>
          <w:szCs w:val="20"/>
        </w:rPr>
        <w:t xml:space="preserve">Queensland </w:t>
      </w:r>
      <w:proofErr w:type="spellStart"/>
      <w:r w:rsidR="00B52CFC" w:rsidRPr="003F3AC3">
        <w:rPr>
          <w:rFonts w:ascii="Arial" w:hAnsi="Arial" w:cs="Arial"/>
          <w:szCs w:val="20"/>
        </w:rPr>
        <w:t>Telestroke</w:t>
      </w:r>
      <w:proofErr w:type="spellEnd"/>
      <w:r w:rsidR="009C02A1">
        <w:rPr>
          <w:rFonts w:ascii="Arial" w:hAnsi="Arial" w:cs="Arial"/>
          <w:szCs w:val="20"/>
        </w:rPr>
        <w:t xml:space="preserve"> Service</w:t>
      </w:r>
      <w:r w:rsidR="004D6DC2">
        <w:rPr>
          <w:rFonts w:ascii="Arial" w:hAnsi="Arial" w:cs="Arial"/>
          <w:szCs w:val="20"/>
        </w:rPr>
        <w:t>.</w:t>
      </w:r>
    </w:p>
    <w:p w14:paraId="5328708C" w14:textId="338B9CFF" w:rsidR="00B52CFC" w:rsidRDefault="00B52CFC" w:rsidP="007C39EB">
      <w:pPr>
        <w:pStyle w:val="ListParagraph0"/>
        <w:numPr>
          <w:ilvl w:val="0"/>
          <w:numId w:val="18"/>
        </w:numPr>
        <w:spacing w:before="0" w:after="0" w:line="254" w:lineRule="auto"/>
        <w:contextualSpacing/>
        <w:rPr>
          <w:rFonts w:ascii="Arial" w:hAnsi="Arial" w:cs="Arial"/>
          <w:szCs w:val="20"/>
        </w:rPr>
      </w:pPr>
      <w:r>
        <w:rPr>
          <w:rFonts w:ascii="Arial" w:hAnsi="Arial" w:cs="Arial"/>
          <w:szCs w:val="20"/>
        </w:rPr>
        <w:t xml:space="preserve">This role </w:t>
      </w:r>
      <w:r w:rsidR="003F3AC3">
        <w:rPr>
          <w:rFonts w:ascii="Arial" w:hAnsi="Arial" w:cs="Arial"/>
          <w:szCs w:val="20"/>
        </w:rPr>
        <w:t xml:space="preserve">has no supervisory </w:t>
      </w:r>
      <w:r w:rsidR="00DC4B1C">
        <w:rPr>
          <w:rFonts w:ascii="Arial" w:hAnsi="Arial" w:cs="Arial"/>
          <w:szCs w:val="20"/>
        </w:rPr>
        <w:t>responsibilities.</w:t>
      </w:r>
    </w:p>
    <w:p w14:paraId="0DBED1D1" w14:textId="59C426B8" w:rsidR="00643332" w:rsidRPr="00233EF2" w:rsidRDefault="00643332" w:rsidP="007C39EB">
      <w:pPr>
        <w:pStyle w:val="Heading2"/>
        <w:rPr>
          <w:color w:val="00778B"/>
          <w:sz w:val="20"/>
          <w:szCs w:val="20"/>
        </w:rPr>
      </w:pPr>
      <w:r>
        <w:rPr>
          <w:color w:val="00778B"/>
          <w:sz w:val="20"/>
          <w:szCs w:val="20"/>
        </w:rPr>
        <w:t>Key Accountabilities</w:t>
      </w:r>
    </w:p>
    <w:p w14:paraId="6C83FF96" w14:textId="77777777" w:rsidR="00643332" w:rsidRDefault="00643332" w:rsidP="007C39EB">
      <w:pPr>
        <w:ind w:right="-5"/>
        <w:rPr>
          <w:rFonts w:cs="Arial"/>
        </w:rPr>
      </w:pPr>
      <w:r>
        <w:rPr>
          <w:rFonts w:cs="Arial"/>
        </w:rPr>
        <w:t>This successful applicant will carry out the following key accountabilities in accordance with the Metro North Health’s values:</w:t>
      </w:r>
    </w:p>
    <w:p w14:paraId="1EF11455" w14:textId="77777777" w:rsidR="00643332" w:rsidRDefault="00643332" w:rsidP="007C39EB">
      <w:pPr>
        <w:ind w:right="-5"/>
        <w:rPr>
          <w:rFonts w:cs="Arial"/>
        </w:rPr>
      </w:pPr>
    </w:p>
    <w:p w14:paraId="21A5B7A7" w14:textId="17B40690" w:rsidR="00643332" w:rsidRDefault="003F3AC3" w:rsidP="007C39EB">
      <w:pPr>
        <w:numPr>
          <w:ilvl w:val="0"/>
          <w:numId w:val="19"/>
        </w:numPr>
        <w:rPr>
          <w:rFonts w:cs="Arial"/>
        </w:rPr>
      </w:pPr>
      <w:r>
        <w:rPr>
          <w:rFonts w:cs="Arial"/>
        </w:rPr>
        <w:t>Supervised service provision as part of</w:t>
      </w:r>
      <w:r w:rsidR="00B52CFC">
        <w:rPr>
          <w:rFonts w:cs="Arial"/>
        </w:rPr>
        <w:t xml:space="preserve"> </w:t>
      </w:r>
      <w:r w:rsidR="009C02A1">
        <w:rPr>
          <w:rFonts w:cs="Arial"/>
        </w:rPr>
        <w:t xml:space="preserve">the </w:t>
      </w:r>
      <w:r w:rsidR="00B52CFC">
        <w:rPr>
          <w:rFonts w:cs="Arial"/>
        </w:rPr>
        <w:t xml:space="preserve">Queensland </w:t>
      </w:r>
      <w:proofErr w:type="spellStart"/>
      <w:r w:rsidR="00B52CFC">
        <w:rPr>
          <w:rFonts w:cs="Arial"/>
        </w:rPr>
        <w:t>Telestroke</w:t>
      </w:r>
      <w:proofErr w:type="spellEnd"/>
      <w:r w:rsidR="009C02A1">
        <w:rPr>
          <w:rFonts w:cs="Arial"/>
        </w:rPr>
        <w:t xml:space="preserve"> Service</w:t>
      </w:r>
    </w:p>
    <w:p w14:paraId="6D83530A" w14:textId="0F001DF8" w:rsidR="00643332" w:rsidRDefault="003F3AC3" w:rsidP="007C39EB">
      <w:pPr>
        <w:numPr>
          <w:ilvl w:val="0"/>
          <w:numId w:val="19"/>
        </w:numPr>
        <w:rPr>
          <w:rFonts w:cs="Arial"/>
        </w:rPr>
      </w:pPr>
      <w:r>
        <w:rPr>
          <w:rFonts w:cs="Arial"/>
        </w:rPr>
        <w:t>Education to staff at referral sites to support emergency stroke work-</w:t>
      </w:r>
      <w:r w:rsidR="00D8671C">
        <w:rPr>
          <w:rFonts w:cs="Arial"/>
        </w:rPr>
        <w:t>up.</w:t>
      </w:r>
    </w:p>
    <w:p w14:paraId="6F6FA25F" w14:textId="128A6DEA" w:rsidR="00643332" w:rsidRDefault="003F3AC3" w:rsidP="007C39EB">
      <w:pPr>
        <w:numPr>
          <w:ilvl w:val="0"/>
          <w:numId w:val="19"/>
        </w:numPr>
        <w:rPr>
          <w:rFonts w:cs="Arial"/>
        </w:rPr>
      </w:pPr>
      <w:r>
        <w:rPr>
          <w:rFonts w:cs="Arial"/>
        </w:rPr>
        <w:t>Participat</w:t>
      </w:r>
      <w:r w:rsidR="00DB4591">
        <w:rPr>
          <w:rFonts w:cs="Arial"/>
        </w:rPr>
        <w:t xml:space="preserve">ion </w:t>
      </w:r>
      <w:r>
        <w:rPr>
          <w:rFonts w:cs="Arial"/>
        </w:rPr>
        <w:t xml:space="preserve">in Queensland </w:t>
      </w:r>
      <w:proofErr w:type="spellStart"/>
      <w:r>
        <w:rPr>
          <w:rFonts w:cs="Arial"/>
        </w:rPr>
        <w:t>Telestroke</w:t>
      </w:r>
      <w:proofErr w:type="spellEnd"/>
      <w:r>
        <w:rPr>
          <w:rFonts w:cs="Arial"/>
        </w:rPr>
        <w:t xml:space="preserve"> </w:t>
      </w:r>
      <w:r w:rsidR="0009601C">
        <w:rPr>
          <w:rFonts w:cs="Arial"/>
        </w:rPr>
        <w:t xml:space="preserve">Service </w:t>
      </w:r>
      <w:r>
        <w:rPr>
          <w:rFonts w:cs="Arial"/>
        </w:rPr>
        <w:t>quality improvement activities and research</w:t>
      </w:r>
      <w:r w:rsidR="00D8671C">
        <w:rPr>
          <w:rFonts w:cs="Arial"/>
        </w:rPr>
        <w:t>.</w:t>
      </w:r>
    </w:p>
    <w:p w14:paraId="0287176A" w14:textId="63A77409" w:rsidR="00DB4591" w:rsidRDefault="00DB4591" w:rsidP="00DB4591">
      <w:pPr>
        <w:numPr>
          <w:ilvl w:val="0"/>
          <w:numId w:val="19"/>
        </w:numPr>
        <w:rPr>
          <w:rFonts w:cs="Arial"/>
        </w:rPr>
      </w:pPr>
      <w:r>
        <w:rPr>
          <w:rFonts w:cs="Arial"/>
        </w:rPr>
        <w:t xml:space="preserve">Participation in code stroke and </w:t>
      </w:r>
      <w:r w:rsidR="00C92150">
        <w:rPr>
          <w:rFonts w:cs="Arial"/>
        </w:rPr>
        <w:t xml:space="preserve">inpatient </w:t>
      </w:r>
      <w:r>
        <w:rPr>
          <w:rFonts w:cs="Arial"/>
        </w:rPr>
        <w:t>stroke unit care at the Royal Brisbane and Women’s Hospital</w:t>
      </w:r>
      <w:r w:rsidR="00D8671C">
        <w:rPr>
          <w:rFonts w:cs="Arial"/>
        </w:rPr>
        <w:t>.</w:t>
      </w:r>
    </w:p>
    <w:p w14:paraId="3E44BBEC" w14:textId="6231F5DF" w:rsidR="00DB4591" w:rsidRPr="00DB4591" w:rsidRDefault="00DB4591" w:rsidP="00DB4591">
      <w:pPr>
        <w:numPr>
          <w:ilvl w:val="0"/>
          <w:numId w:val="19"/>
        </w:numPr>
        <w:rPr>
          <w:rFonts w:cs="Arial"/>
        </w:rPr>
      </w:pPr>
      <w:r>
        <w:rPr>
          <w:rFonts w:cs="Arial"/>
        </w:rPr>
        <w:t>Participation in after hours on-call support for patients at the Royal Brisbane and Women’s Hospital.</w:t>
      </w:r>
    </w:p>
    <w:p w14:paraId="6D029DDB" w14:textId="11D6CDDD" w:rsidR="00643332" w:rsidRDefault="00643332" w:rsidP="007C39EB">
      <w:pPr>
        <w:pStyle w:val="Heading2"/>
        <w:rPr>
          <w:color w:val="00778B"/>
          <w:sz w:val="20"/>
          <w:szCs w:val="20"/>
        </w:rPr>
      </w:pPr>
      <w:r>
        <w:rPr>
          <w:color w:val="00778B"/>
          <w:sz w:val="20"/>
          <w:szCs w:val="20"/>
        </w:rPr>
        <w:t>About</w:t>
      </w:r>
      <w:r w:rsidR="0009601C">
        <w:rPr>
          <w:color w:val="00778B"/>
          <w:sz w:val="20"/>
          <w:szCs w:val="20"/>
        </w:rPr>
        <w:t xml:space="preserve"> the</w:t>
      </w:r>
      <w:r>
        <w:rPr>
          <w:color w:val="00778B"/>
          <w:sz w:val="20"/>
          <w:szCs w:val="20"/>
        </w:rPr>
        <w:t xml:space="preserve"> </w:t>
      </w:r>
      <w:r w:rsidR="008B5946">
        <w:rPr>
          <w:color w:val="00778B"/>
          <w:sz w:val="20"/>
          <w:szCs w:val="20"/>
        </w:rPr>
        <w:t xml:space="preserve">Queensland </w:t>
      </w:r>
      <w:proofErr w:type="spellStart"/>
      <w:r w:rsidR="008B5946">
        <w:rPr>
          <w:color w:val="00778B"/>
          <w:sz w:val="20"/>
          <w:szCs w:val="20"/>
        </w:rPr>
        <w:t>Telestroke</w:t>
      </w:r>
      <w:proofErr w:type="spellEnd"/>
      <w:r w:rsidR="0009601C">
        <w:rPr>
          <w:color w:val="00778B"/>
          <w:sz w:val="20"/>
          <w:szCs w:val="20"/>
        </w:rPr>
        <w:t xml:space="preserve"> Service</w:t>
      </w:r>
    </w:p>
    <w:p w14:paraId="4D45C7D9" w14:textId="25754F8A" w:rsidR="008B5946" w:rsidRDefault="0009601C" w:rsidP="008B5946">
      <w:pPr>
        <w:pStyle w:val="BodyText"/>
      </w:pPr>
      <w:r>
        <w:t xml:space="preserve">The </w:t>
      </w:r>
      <w:r w:rsidR="008B5946">
        <w:t xml:space="preserve">Queensland </w:t>
      </w:r>
      <w:proofErr w:type="spellStart"/>
      <w:r w:rsidR="008B5946">
        <w:t>Telestroke</w:t>
      </w:r>
      <w:proofErr w:type="spellEnd"/>
      <w:r w:rsidR="008B5946">
        <w:t xml:space="preserve"> </w:t>
      </w:r>
      <w:r>
        <w:t xml:space="preserve">Service </w:t>
      </w:r>
      <w:r w:rsidR="008B5946">
        <w:t xml:space="preserve">is a new service being created to improve acute “code stroke” support for clinicians and patients in areas of Queensland currently not supported by local services. </w:t>
      </w:r>
    </w:p>
    <w:p w14:paraId="36965EB9" w14:textId="6A51A99F" w:rsidR="008B5946" w:rsidRDefault="008B5946" w:rsidP="008B5946">
      <w:pPr>
        <w:pStyle w:val="BodyText"/>
      </w:pPr>
      <w:r>
        <w:lastRenderedPageBreak/>
        <w:t xml:space="preserve">Several sites in Queensland are well supported in and out of hours by specialist staff. Many more sites in Queensland have no real-time access to expert stroke advice to guide the work-up and referral of patients for reperfusion and other emergency stroke therapies. </w:t>
      </w:r>
    </w:p>
    <w:p w14:paraId="154B1B84" w14:textId="1E5B0671" w:rsidR="008B5946" w:rsidRDefault="008B5946" w:rsidP="008B5946">
      <w:pPr>
        <w:pStyle w:val="BodyText"/>
      </w:pPr>
      <w:r>
        <w:t xml:space="preserve">Furthermore, many sites do not have processes in place for the efficient recognition and assessment of patients with suspected stroke. </w:t>
      </w:r>
    </w:p>
    <w:p w14:paraId="3C9A1E58" w14:textId="77777777" w:rsidR="003D02C0" w:rsidRDefault="0009601C" w:rsidP="003D02C0">
      <w:pPr>
        <w:spacing w:line="276" w:lineRule="auto"/>
        <w:jc w:val="both"/>
      </w:pPr>
      <w:r>
        <w:t xml:space="preserve">The </w:t>
      </w:r>
      <w:r w:rsidR="008B5946">
        <w:t xml:space="preserve">Queensland </w:t>
      </w:r>
      <w:proofErr w:type="spellStart"/>
      <w:r w:rsidR="008B5946">
        <w:t>Telestroke</w:t>
      </w:r>
      <w:proofErr w:type="spellEnd"/>
      <w:r w:rsidR="008B5946">
        <w:t xml:space="preserve"> </w:t>
      </w:r>
      <w:r>
        <w:t xml:space="preserve">Service </w:t>
      </w:r>
      <w:r w:rsidR="008B5946">
        <w:t xml:space="preserve">will provide support for these sites to develop and improve their local processes for emergency stroke recognition and assessment. </w:t>
      </w:r>
      <w:r>
        <w:t xml:space="preserve">The </w:t>
      </w:r>
      <w:r w:rsidR="008B5946">
        <w:t xml:space="preserve">Queensland </w:t>
      </w:r>
      <w:proofErr w:type="spellStart"/>
      <w:r w:rsidR="008B5946">
        <w:t>Telestroke</w:t>
      </w:r>
      <w:proofErr w:type="spellEnd"/>
      <w:r w:rsidR="008B5946">
        <w:t xml:space="preserve"> </w:t>
      </w:r>
      <w:r>
        <w:t xml:space="preserve">Service </w:t>
      </w:r>
      <w:r w:rsidR="008B5946">
        <w:t xml:space="preserve">will also provide specialist advice in and out of hours to staff at these sites to facilitate the delivery of reperfusion and other emergency stroke therapies. </w:t>
      </w:r>
    </w:p>
    <w:p w14:paraId="45ECF995" w14:textId="77777777" w:rsidR="003D02C0" w:rsidRDefault="003D02C0" w:rsidP="003D02C0">
      <w:pPr>
        <w:spacing w:line="276" w:lineRule="auto"/>
        <w:jc w:val="both"/>
      </w:pPr>
    </w:p>
    <w:p w14:paraId="0FF9382D" w14:textId="6E90E0F5" w:rsidR="008B5946" w:rsidRDefault="003D02C0" w:rsidP="003D02C0">
      <w:pPr>
        <w:spacing w:line="276" w:lineRule="auto"/>
        <w:jc w:val="both"/>
      </w:pPr>
      <w:r>
        <w:t xml:space="preserve">The Queensland </w:t>
      </w:r>
      <w:proofErr w:type="spellStart"/>
      <w:r>
        <w:t>Telestroke</w:t>
      </w:r>
      <w:proofErr w:type="spellEnd"/>
      <w:r>
        <w:t xml:space="preserve"> Service Stroke Fellow role includes after hours neurology/stroke on-call work shared with the other Registrars/Fellows. There are 5 other Registrars/Fellows in 2024. Weekend ward rounds are shared with the two RMOs and the registrars/fellows. Internal Medicine and Emergency Services also involves the registrars in </w:t>
      </w:r>
      <w:proofErr w:type="spellStart"/>
      <w:r>
        <w:t>after hours</w:t>
      </w:r>
      <w:proofErr w:type="spellEnd"/>
      <w:r>
        <w:t xml:space="preserve"> general medical registrar work. After-hours work for Neurology Fellows is in addition to and scheduled around these general duties.</w:t>
      </w:r>
    </w:p>
    <w:p w14:paraId="4712FBA2" w14:textId="4A774C61" w:rsidR="003D02C0" w:rsidRDefault="003D02C0" w:rsidP="003D02C0">
      <w:pPr>
        <w:spacing w:line="276" w:lineRule="auto"/>
        <w:jc w:val="both"/>
      </w:pPr>
    </w:p>
    <w:p w14:paraId="7E936C13" w14:textId="6E432F3D" w:rsidR="003D02C0" w:rsidRPr="005125B2" w:rsidRDefault="003D02C0" w:rsidP="003D02C0">
      <w:pPr>
        <w:pStyle w:val="FactsheetHeading"/>
        <w:jc w:val="both"/>
        <w:rPr>
          <w:rFonts w:asciiTheme="minorHAnsi" w:hAnsiTheme="minorHAnsi" w:cs="Arial"/>
          <w:b/>
          <w:iCs/>
          <w:color w:val="00778B"/>
          <w:sz w:val="20"/>
          <w:szCs w:val="22"/>
          <w:lang w:bidi="ar-SA"/>
        </w:rPr>
      </w:pPr>
      <w:r w:rsidRPr="005125B2">
        <w:rPr>
          <w:rFonts w:asciiTheme="minorHAnsi" w:hAnsiTheme="minorHAnsi" w:cs="Arial"/>
          <w:b/>
          <w:iCs/>
          <w:color w:val="00778B"/>
          <w:sz w:val="20"/>
          <w:szCs w:val="22"/>
          <w:lang w:bidi="ar-SA"/>
        </w:rPr>
        <w:t>About the Department</w:t>
      </w:r>
      <w:r>
        <w:rPr>
          <w:rFonts w:asciiTheme="minorHAnsi" w:hAnsiTheme="minorHAnsi" w:cs="Arial"/>
          <w:b/>
          <w:iCs/>
          <w:color w:val="00778B"/>
          <w:sz w:val="20"/>
          <w:szCs w:val="22"/>
          <w:lang w:bidi="ar-SA"/>
        </w:rPr>
        <w:t xml:space="preserve"> of Neurology</w:t>
      </w:r>
    </w:p>
    <w:p w14:paraId="78A61866" w14:textId="77777777" w:rsidR="003D02C0" w:rsidRPr="005125B2" w:rsidRDefault="003D02C0" w:rsidP="003D02C0">
      <w:pPr>
        <w:spacing w:line="276" w:lineRule="auto"/>
        <w:jc w:val="both"/>
      </w:pPr>
      <w:r w:rsidRPr="005125B2">
        <w:t xml:space="preserve">The Department of Neurology at the Royal Brisbane and Women’s Hospital (RBWH) maintains a large inpatient, outpatient, consultative, clinical neurophysiological service and clinical neuropsychology service.  </w:t>
      </w:r>
    </w:p>
    <w:p w14:paraId="1702F8DE" w14:textId="77777777" w:rsidR="003D02C0" w:rsidRPr="005125B2" w:rsidRDefault="003D02C0" w:rsidP="003D02C0">
      <w:pPr>
        <w:spacing w:line="276" w:lineRule="auto"/>
        <w:jc w:val="both"/>
      </w:pPr>
    </w:p>
    <w:p w14:paraId="68122135" w14:textId="77777777" w:rsidR="003D02C0" w:rsidRPr="005125B2" w:rsidRDefault="003D02C0" w:rsidP="003D02C0">
      <w:pPr>
        <w:spacing w:line="276" w:lineRule="auto"/>
        <w:jc w:val="both"/>
      </w:pPr>
      <w:r w:rsidRPr="005125B2">
        <w:t>These services are provided to patients with a wide range of neurological disorders including epilepsy, multiple sclerosis, stroke (including Endovascular Thrombectomy), encephalitis, motor neurone disease, dementia, Parkinson disease, other movement disorders, spinal cord disease, peripheral neuropathy, myasthenia gravis, muscle disorders and headache. Botulinum toxin, device assisted therapies for Parkinson disease, deep brain stimulation and neurosurgery for refractory epilepsy are all offered at RBWH. The Department of Neurology serves as a major tertiary and quaternary referral centre for neurology in Queensland.</w:t>
      </w:r>
    </w:p>
    <w:p w14:paraId="1A90CFD0" w14:textId="77777777" w:rsidR="003D02C0" w:rsidRPr="005125B2" w:rsidRDefault="003D02C0" w:rsidP="003D02C0">
      <w:pPr>
        <w:spacing w:line="276" w:lineRule="auto"/>
        <w:jc w:val="both"/>
      </w:pPr>
    </w:p>
    <w:p w14:paraId="40812512" w14:textId="77777777" w:rsidR="003D02C0" w:rsidRPr="005125B2" w:rsidRDefault="003D02C0" w:rsidP="003D02C0">
      <w:pPr>
        <w:spacing w:line="276" w:lineRule="auto"/>
        <w:jc w:val="both"/>
      </w:pPr>
      <w:r w:rsidRPr="005125B2">
        <w:t>The Department of Neurology is closely affiliated with the University of Queensland (School of Medicine) and has a major role in the teaching of neurology to medical students and to medical residents and registrars, including those training towards fellowship of the Royal Australian College of Physicians and membership of the Australian and New Zealand Association of Neurologists.  There are also several PhD scholars conducting research within the department.</w:t>
      </w:r>
    </w:p>
    <w:p w14:paraId="3577FA75" w14:textId="77777777" w:rsidR="003D02C0" w:rsidRDefault="003D02C0" w:rsidP="003D02C0">
      <w:pPr>
        <w:spacing w:line="276" w:lineRule="auto"/>
        <w:jc w:val="both"/>
      </w:pPr>
    </w:p>
    <w:p w14:paraId="5DBA06DE" w14:textId="22782A07" w:rsidR="003D02C0" w:rsidRPr="003D02C0" w:rsidRDefault="003D02C0" w:rsidP="003D02C0">
      <w:pPr>
        <w:spacing w:line="276" w:lineRule="auto"/>
        <w:jc w:val="both"/>
      </w:pPr>
      <w:r>
        <w:t>The positions</w:t>
      </w:r>
      <w:r w:rsidRPr="00D20745">
        <w:t xml:space="preserve"> </w:t>
      </w:r>
      <w:r>
        <w:t xml:space="preserve">are </w:t>
      </w:r>
      <w:r w:rsidRPr="00D20745">
        <w:t>part of a networked neurology service across the Metro</w:t>
      </w:r>
      <w:r>
        <w:t xml:space="preserve"> N</w:t>
      </w:r>
      <w:r w:rsidRPr="00D20745">
        <w:t>orth</w:t>
      </w:r>
      <w:r w:rsidRPr="005C2338">
        <w:t xml:space="preserve"> </w:t>
      </w:r>
      <w:r w:rsidRPr="008F6617">
        <w:t>Hospital</w:t>
      </w:r>
      <w:r>
        <w:t>s</w:t>
      </w:r>
      <w:r w:rsidRPr="008F6617">
        <w:t xml:space="preserve"> and Health Service </w:t>
      </w:r>
      <w:r>
        <w:t>(MNHHS)</w:t>
      </w:r>
      <w:r w:rsidRPr="00D20745">
        <w:t xml:space="preserve">, which includes RBWH, </w:t>
      </w:r>
      <w:r w:rsidRPr="005125B2">
        <w:t>The Prince Charles Hospital (TPCH), Redcliffe Hospital (RDH) and Caboolture Hospital (CBH). Although the RBWH is the largest hospital within the service, the other three hospitals are independently large hospitals with 250-600 beds each.</w:t>
      </w:r>
    </w:p>
    <w:bookmarkEnd w:id="1"/>
    <w:p w14:paraId="241BBFEE" w14:textId="39288B6A" w:rsidR="008B5946" w:rsidRPr="004F19DF" w:rsidRDefault="008B5946" w:rsidP="004F19DF">
      <w:pPr>
        <w:pStyle w:val="Heading2"/>
        <w:rPr>
          <w:color w:val="00778B"/>
          <w:sz w:val="20"/>
          <w:szCs w:val="20"/>
        </w:rPr>
      </w:pPr>
      <w:r>
        <w:rPr>
          <w:color w:val="00778B"/>
          <w:sz w:val="20"/>
          <w:szCs w:val="20"/>
        </w:rPr>
        <w:t>About Metro North Health</w:t>
      </w:r>
    </w:p>
    <w:p w14:paraId="186EBBBE" w14:textId="77777777" w:rsidR="00643332" w:rsidRDefault="00643332" w:rsidP="007C39EB">
      <w:pPr>
        <w:spacing w:line="276" w:lineRule="auto"/>
        <w:rPr>
          <w:rFonts w:cs="Times New Roman"/>
        </w:rPr>
      </w:pPr>
      <w:r>
        <w:t xml:space="preserve">Delivering outstanding health services is just one of the ways that we care for our community. Our passion for people is reflected in the way we do our work and live our values every day. We value and nurture our team members so they can provide quality </w:t>
      </w:r>
      <w:proofErr w:type="gramStart"/>
      <w:r>
        <w:t>value based</w:t>
      </w:r>
      <w:proofErr w:type="gramEnd"/>
      <w:r>
        <w:t xml:space="preserve"> care to our patients across our diverse organisation. Our focus on Value Based Healthcare means we expect our staff to deliver the care the patient needs, no more and no less, to achieve the best quality of life for our community. This passion fuels our collaborative culture of innovation and research. </w:t>
      </w:r>
    </w:p>
    <w:p w14:paraId="6B253220" w14:textId="77777777" w:rsidR="00643332" w:rsidRDefault="00643332" w:rsidP="007C39EB">
      <w:pPr>
        <w:spacing w:line="276" w:lineRule="auto"/>
        <w:rPr>
          <w:rFonts w:cs="Arial"/>
        </w:rPr>
      </w:pPr>
    </w:p>
    <w:p w14:paraId="0D00E81E" w14:textId="77777777" w:rsidR="00643332" w:rsidRDefault="00643332" w:rsidP="007C39EB">
      <w:pPr>
        <w:spacing w:line="276" w:lineRule="auto"/>
        <w:rPr>
          <w:rFonts w:cs="Arial"/>
        </w:rPr>
      </w:pPr>
      <w:r>
        <w:rPr>
          <w:rFonts w:cs="Arial"/>
        </w:rPr>
        <w:t xml:space="preserve">We embrace the diversity of local and greater communities as we provide services to people throughout Queensland, northern New South Wales and the Northern Territory, in all major health specialities including medicine, surgery, mental health, cancer care, trauma, women’s and newborn care, and more than 30 sub-specialities. Metro North Health services include rural, regional and tertiary hospitals, and community and oral health services. </w:t>
      </w:r>
    </w:p>
    <w:p w14:paraId="76D58F5A" w14:textId="77777777" w:rsidR="00643332" w:rsidRDefault="00643332" w:rsidP="007C39EB">
      <w:pPr>
        <w:spacing w:line="276" w:lineRule="auto"/>
        <w:rPr>
          <w:rFonts w:cs="Arial"/>
        </w:rPr>
      </w:pPr>
    </w:p>
    <w:p w14:paraId="79E90760" w14:textId="6BD76FF1" w:rsidR="008B5946" w:rsidRPr="00070809" w:rsidRDefault="00643332" w:rsidP="007C39EB">
      <w:pPr>
        <w:spacing w:line="276" w:lineRule="auto"/>
        <w:rPr>
          <w:rFonts w:cs="Arial"/>
          <w:bCs/>
        </w:rPr>
      </w:pPr>
      <w:r>
        <w:rPr>
          <w:rFonts w:cs="Arial"/>
          <w:bCs/>
        </w:rPr>
        <w:t xml:space="preserve">Our diverse Health Service provides a wide variety of rewarding career paths across our tertiary/quaternary referral hospitals, secondary hospitals, </w:t>
      </w:r>
      <w:r>
        <w:rPr>
          <w:rFonts w:cs="Arial"/>
        </w:rPr>
        <w:t>community health centres,</w:t>
      </w:r>
      <w:r>
        <w:rPr>
          <w:rFonts w:cs="Arial"/>
          <w:bCs/>
        </w:rPr>
        <w:t xml:space="preserve"> </w:t>
      </w:r>
      <w:r>
        <w:rPr>
          <w:rFonts w:cs="Arial"/>
        </w:rPr>
        <w:t xml:space="preserve">residential and extended care facilities </w:t>
      </w:r>
      <w:r>
        <w:rPr>
          <w:rFonts w:cs="Arial"/>
          <w:bCs/>
        </w:rPr>
        <w:t xml:space="preserve">and regional community hospitals. </w:t>
      </w:r>
      <w:r>
        <w:rPr>
          <w:rFonts w:cs="Arial"/>
        </w:rPr>
        <w:t xml:space="preserve">We expect our staff and volunteers to translate our values into action through providing high quality connected care that is relevant, efficient and respectful of our patients’ needs and wishes. </w:t>
      </w:r>
      <w:r>
        <w:rPr>
          <w:rFonts w:cs="Arial"/>
          <w:bCs/>
        </w:rPr>
        <w:t xml:space="preserve">Our people are passionate about our community and patients, with a focus on putting people first. Come and work where people are at the centre of everything we </w:t>
      </w:r>
      <w:proofErr w:type="gramStart"/>
      <w:r>
        <w:rPr>
          <w:rFonts w:cs="Arial"/>
          <w:bCs/>
        </w:rPr>
        <w:t>do</w:t>
      </w:r>
      <w:proofErr w:type="gramEnd"/>
      <w:r>
        <w:rPr>
          <w:rFonts w:cs="Arial"/>
          <w:bCs/>
        </w:rPr>
        <w:t xml:space="preserve"> and your contribution is truly valued.</w:t>
      </w:r>
    </w:p>
    <w:p w14:paraId="242E2D1F" w14:textId="42EE6DC2" w:rsidR="00E14A6F" w:rsidRDefault="00DC4B1C" w:rsidP="007C39EB">
      <w:pPr>
        <w:tabs>
          <w:tab w:val="left" w:pos="3435"/>
        </w:tabs>
        <w:spacing w:before="280" w:after="180" w:line="276" w:lineRule="auto"/>
        <w:rPr>
          <w:rFonts w:cs="Arial"/>
          <w:b/>
          <w:bCs/>
          <w:iCs/>
          <w:color w:val="00778B"/>
        </w:rPr>
      </w:pPr>
      <w:r>
        <w:rPr>
          <w:rFonts w:cs="Arial"/>
          <w:bCs/>
          <w:noProof/>
        </w:rPr>
        <w:lastRenderedPageBreak/>
        <w:drawing>
          <wp:anchor distT="0" distB="0" distL="114300" distR="114300" simplePos="0" relativeHeight="251660288" behindDoc="1" locked="0" layoutInCell="1" allowOverlap="1" wp14:anchorId="468656E5" wp14:editId="3376F241">
            <wp:simplePos x="0" y="0"/>
            <wp:positionH relativeFrom="column">
              <wp:posOffset>1456359</wp:posOffset>
            </wp:positionH>
            <wp:positionV relativeFrom="paragraph">
              <wp:posOffset>-317113</wp:posOffset>
            </wp:positionV>
            <wp:extent cx="120015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483" w:rsidRPr="002A3483">
        <w:rPr>
          <w:rFonts w:cs="Arial"/>
          <w:b/>
          <w:bCs/>
          <w:iCs/>
          <w:color w:val="00778B"/>
        </w:rPr>
        <w:t>Health Equity and Racism</w:t>
      </w:r>
      <w:r w:rsidR="002A3483">
        <w:rPr>
          <w:rFonts w:cs="Arial"/>
          <w:b/>
          <w:bCs/>
          <w:iCs/>
          <w:color w:val="00778B"/>
        </w:rPr>
        <w:t xml:space="preserve"> </w:t>
      </w:r>
      <w:r w:rsidR="00C75CCF">
        <w:rPr>
          <w:rFonts w:cs="Arial"/>
          <w:b/>
          <w:bCs/>
          <w:iCs/>
          <w:color w:val="00778B"/>
        </w:rPr>
        <w:tab/>
      </w:r>
    </w:p>
    <w:p w14:paraId="184583B2" w14:textId="35E8D154" w:rsidR="00E14A6F" w:rsidRPr="00E14A6F" w:rsidRDefault="00E14A6F" w:rsidP="007C39EB">
      <w:pPr>
        <w:spacing w:line="276" w:lineRule="auto"/>
        <w:rPr>
          <w:rFonts w:cs="Arial"/>
          <w:bCs/>
        </w:rPr>
      </w:pPr>
      <w:r w:rsidRPr="00E14A6F">
        <w:rPr>
          <w:rFonts w:cs="Arial"/>
          <w:bCs/>
        </w:rPr>
        <w:t xml:space="preserve">Metro North Health has set out its actions and agreed key performance measures to improve Aboriginal and Torres Strait Islander people’s health and wellbeing outcomes.  </w:t>
      </w:r>
    </w:p>
    <w:p w14:paraId="3DDA0228" w14:textId="1C6E1419" w:rsidR="00E14A6F" w:rsidRPr="00E14A6F" w:rsidRDefault="00E14A6F" w:rsidP="007C39EB">
      <w:pPr>
        <w:spacing w:line="276" w:lineRule="auto"/>
        <w:rPr>
          <w:rFonts w:cs="Arial"/>
          <w:bCs/>
        </w:rPr>
      </w:pPr>
      <w:r w:rsidRPr="00E14A6F">
        <w:rPr>
          <w:rFonts w:cs="Arial"/>
          <w:bCs/>
        </w:rPr>
        <w:t xml:space="preserve"> </w:t>
      </w:r>
    </w:p>
    <w:p w14:paraId="6F917EBD" w14:textId="489842EA" w:rsidR="00E14A6F" w:rsidRPr="00E14A6F" w:rsidRDefault="00E14A6F" w:rsidP="007C39EB">
      <w:pPr>
        <w:spacing w:line="276" w:lineRule="auto"/>
        <w:rPr>
          <w:rFonts w:cs="Arial"/>
          <w:bCs/>
        </w:rPr>
      </w:pPr>
      <w:r w:rsidRPr="00E14A6F">
        <w:rPr>
          <w:rFonts w:cs="Arial"/>
          <w:bCs/>
        </w:rPr>
        <w:t>Racism is a key structural determinant of Aboriginal and Torres Strait Islander people’s health inequity. Racism is not always conscious, explicit, or readily visible - often it is systemic. Systemic or institutional racism are forms of racism that are widely and deeply embedded in systems, laws, written or unwritten policies and well-established practices and beliefs that produce, condone, and perpetuate widespread unfair treatment, causing and/or contributing to inherited disadvantage.</w:t>
      </w:r>
    </w:p>
    <w:p w14:paraId="3BB7FA11" w14:textId="3D1040CD" w:rsidR="00E14A6F" w:rsidRPr="00E14A6F" w:rsidRDefault="00E14A6F" w:rsidP="007C39EB">
      <w:pPr>
        <w:spacing w:line="276" w:lineRule="auto"/>
        <w:rPr>
          <w:rFonts w:cs="Arial"/>
          <w:bCs/>
        </w:rPr>
      </w:pPr>
      <w:r w:rsidRPr="00E14A6F">
        <w:rPr>
          <w:rFonts w:cs="Arial"/>
          <w:bCs/>
        </w:rPr>
        <w:t xml:space="preserve"> </w:t>
      </w:r>
    </w:p>
    <w:p w14:paraId="3717B67F" w14:textId="73311677" w:rsidR="00C51B14" w:rsidRDefault="00E14A6F" w:rsidP="007C39EB">
      <w:pPr>
        <w:spacing w:line="276" w:lineRule="auto"/>
        <w:rPr>
          <w:rFonts w:cs="Arial"/>
          <w:bCs/>
        </w:rPr>
      </w:pPr>
      <w:r w:rsidRPr="00E14A6F">
        <w:rPr>
          <w:rFonts w:cs="Arial"/>
          <w:bCs/>
        </w:rPr>
        <w:t>It is expected that all Metro North Health staff, including the incumbent of this role as a valuable member of the Metro North workforce, contribute to the health equity agenda and meet the intent of supporting the defined six actions that specifically meet the needs of Aboriginal and Torres Strait Islander people within the National Safety and Quality Health Service Standards (NSQHS), by actively supporting the elimination of racial discrimination and institutional racism; supporting increased access to health care; influencing the social, cultural and economic determinants of health; supporting the delivery of sustainable, culturally safe and responsive health services;  and recognise the importance of working with Aboriginal and Torres Strait Islander peoples, communities and organisations to design, deliver, monitor and review the health and support services we provide.</w:t>
      </w:r>
    </w:p>
    <w:p w14:paraId="78FD9857" w14:textId="69A7F6A2" w:rsidR="00C51B14" w:rsidRDefault="00C51B14" w:rsidP="007C39EB">
      <w:pPr>
        <w:tabs>
          <w:tab w:val="left" w:pos="1500"/>
        </w:tabs>
        <w:spacing w:line="276" w:lineRule="auto"/>
        <w:rPr>
          <w:rFonts w:cs="Arial"/>
          <w:bCs/>
        </w:rPr>
      </w:pPr>
      <w:r>
        <w:rPr>
          <w:rFonts w:cs="Arial"/>
          <w:bCs/>
        </w:rPr>
        <w:tab/>
      </w:r>
    </w:p>
    <w:p w14:paraId="68911810" w14:textId="6385BF36" w:rsidR="00643332" w:rsidRDefault="00643332" w:rsidP="007C39EB">
      <w:pPr>
        <w:spacing w:line="276" w:lineRule="auto"/>
        <w:rPr>
          <w:rStyle w:val="Hyperlink"/>
          <w:rFonts w:cs="Times New Roman"/>
          <w:color w:val="00778B"/>
          <w:sz w:val="22"/>
        </w:rPr>
      </w:pPr>
      <w:r>
        <w:rPr>
          <w:rFonts w:cs="Arial"/>
        </w:rPr>
        <w:t xml:space="preserve">Please visit our website for additional information about Metro North Health. </w:t>
      </w:r>
      <w:hyperlink r:id="rId15" w:history="1">
        <w:r>
          <w:rPr>
            <w:rStyle w:val="Hyperlink"/>
            <w:rFonts w:cs="Arial"/>
          </w:rPr>
          <w:t>http://metronorth.health.qld.gov.au/</w:t>
        </w:r>
      </w:hyperlink>
      <w:r>
        <w:rPr>
          <w:rFonts w:cs="Arial"/>
        </w:rPr>
        <w:t xml:space="preserve"> </w:t>
      </w:r>
    </w:p>
    <w:p w14:paraId="7D3A25CE" w14:textId="6947F05D" w:rsidR="00643332" w:rsidRPr="00DD0300" w:rsidRDefault="00643332" w:rsidP="007C39EB">
      <w:pPr>
        <w:pStyle w:val="Heading2"/>
        <w:spacing w:line="276" w:lineRule="auto"/>
        <w:rPr>
          <w:color w:val="00778B"/>
          <w:sz w:val="20"/>
          <w:szCs w:val="20"/>
        </w:rPr>
      </w:pPr>
      <w:r>
        <w:rPr>
          <w:color w:val="00778B"/>
          <w:sz w:val="20"/>
          <w:szCs w:val="20"/>
        </w:rPr>
        <w:t>Our Vision</w:t>
      </w:r>
    </w:p>
    <w:p w14:paraId="3AC956EF" w14:textId="58350CFB" w:rsidR="00643332" w:rsidRDefault="00643332" w:rsidP="007C39EB">
      <w:pPr>
        <w:spacing w:line="276" w:lineRule="auto"/>
        <w:rPr>
          <w:rFonts w:cs="Arial"/>
        </w:rPr>
      </w:pPr>
      <w:r>
        <w:rPr>
          <w:rFonts w:cs="Arial"/>
        </w:rPr>
        <w:t>Excellent healthcare, working together,</w:t>
      </w:r>
      <w:r w:rsidR="000C71A6">
        <w:rPr>
          <w:rFonts w:cs="Arial"/>
        </w:rPr>
        <w:t xml:space="preserve"> </w:t>
      </w:r>
      <w:r>
        <w:rPr>
          <w:rFonts w:cs="Arial"/>
        </w:rPr>
        <w:t>strong and healthy communities.</w:t>
      </w:r>
    </w:p>
    <w:p w14:paraId="5094D857" w14:textId="7C84404E" w:rsidR="00643332" w:rsidRDefault="00643332" w:rsidP="007C39EB">
      <w:pPr>
        <w:pStyle w:val="Heading2"/>
        <w:rPr>
          <w:color w:val="00778B"/>
          <w:sz w:val="20"/>
          <w:szCs w:val="20"/>
        </w:rPr>
      </w:pPr>
      <w:r>
        <w:rPr>
          <w:color w:val="00778B"/>
          <w:sz w:val="20"/>
          <w:szCs w:val="20"/>
        </w:rPr>
        <w:t xml:space="preserve">Metro North Health Values and their corresponding </w:t>
      </w:r>
      <w:proofErr w:type="spellStart"/>
      <w:r>
        <w:rPr>
          <w:color w:val="00778B"/>
          <w:sz w:val="20"/>
          <w:szCs w:val="20"/>
        </w:rPr>
        <w:t>Lominger</w:t>
      </w:r>
      <w:proofErr w:type="spellEnd"/>
      <w:r>
        <w:rPr>
          <w:color w:val="00778B"/>
          <w:sz w:val="20"/>
          <w:szCs w:val="20"/>
        </w:rPr>
        <w:t>™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95"/>
        <w:gridCol w:w="2095"/>
        <w:gridCol w:w="2096"/>
        <w:gridCol w:w="2096"/>
        <w:gridCol w:w="2096"/>
      </w:tblGrid>
      <w:tr w:rsidR="00D72D3A" w14:paraId="2B2CB189" w14:textId="77777777" w:rsidTr="00F753B0">
        <w:tc>
          <w:tcPr>
            <w:tcW w:w="2095" w:type="dxa"/>
            <w:shd w:val="clear" w:color="auto" w:fill="F2F2F2" w:themeFill="background1" w:themeFillShade="F2"/>
          </w:tcPr>
          <w:p w14:paraId="4B652EB5" w14:textId="32AC951F" w:rsidR="00D72D3A" w:rsidRDefault="00F753B0" w:rsidP="007C39EB">
            <w:pPr>
              <w:pStyle w:val="BodyText"/>
              <w:jc w:val="center"/>
            </w:pPr>
            <w:r>
              <w:br/>
            </w:r>
            <w:r w:rsidR="00D72D3A">
              <w:rPr>
                <w:noProof/>
              </w:rPr>
              <w:drawing>
                <wp:inline distT="0" distB="0" distL="0" distR="0" wp14:anchorId="36FE8C5C" wp14:editId="5E330E3E">
                  <wp:extent cx="792549" cy="792549"/>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a:stretch>
                            <a:fillRect/>
                          </a:stretch>
                        </pic:blipFill>
                        <pic:spPr>
                          <a:xfrm>
                            <a:off x="0" y="0"/>
                            <a:ext cx="792549" cy="792549"/>
                          </a:xfrm>
                          <a:prstGeom prst="rect">
                            <a:avLst/>
                          </a:prstGeom>
                        </pic:spPr>
                      </pic:pic>
                    </a:graphicData>
                  </a:graphic>
                </wp:inline>
              </w:drawing>
            </w:r>
          </w:p>
        </w:tc>
        <w:tc>
          <w:tcPr>
            <w:tcW w:w="2095" w:type="dxa"/>
            <w:shd w:val="clear" w:color="auto" w:fill="F2F2F2" w:themeFill="background1" w:themeFillShade="F2"/>
          </w:tcPr>
          <w:p w14:paraId="03BDB18C" w14:textId="21E1959D" w:rsidR="00D72D3A" w:rsidRDefault="00F753B0" w:rsidP="007C39EB">
            <w:pPr>
              <w:pStyle w:val="BodyText"/>
              <w:jc w:val="center"/>
            </w:pPr>
            <w:r>
              <w:br/>
            </w:r>
            <w:r w:rsidR="00D72D3A">
              <w:rPr>
                <w:noProof/>
              </w:rPr>
              <w:drawing>
                <wp:inline distT="0" distB="0" distL="0" distR="0" wp14:anchorId="0F5422E5" wp14:editId="59030440">
                  <wp:extent cx="792549" cy="792549"/>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7"/>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1F50E888" w14:textId="66356939" w:rsidR="00D72D3A" w:rsidRDefault="00F753B0" w:rsidP="007C39EB">
            <w:pPr>
              <w:pStyle w:val="BodyText"/>
              <w:jc w:val="center"/>
            </w:pPr>
            <w:r>
              <w:br/>
            </w:r>
            <w:r w:rsidR="00D72D3A">
              <w:rPr>
                <w:noProof/>
              </w:rPr>
              <w:drawing>
                <wp:inline distT="0" distB="0" distL="0" distR="0" wp14:anchorId="346559DC" wp14:editId="64CA616D">
                  <wp:extent cx="792549" cy="792549"/>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7DF5645F" w14:textId="2A128A99" w:rsidR="00D72D3A" w:rsidRDefault="00F753B0" w:rsidP="007C39EB">
            <w:pPr>
              <w:pStyle w:val="BodyText"/>
              <w:jc w:val="center"/>
            </w:pPr>
            <w:r>
              <w:br/>
            </w:r>
            <w:r w:rsidR="00D72D3A">
              <w:rPr>
                <w:noProof/>
              </w:rPr>
              <w:drawing>
                <wp:inline distT="0" distB="0" distL="0" distR="0" wp14:anchorId="2103EB04" wp14:editId="35EFADF4">
                  <wp:extent cx="792549" cy="792549"/>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4A188ED7" w14:textId="245BCFB9" w:rsidR="00D72D3A" w:rsidRDefault="00F753B0" w:rsidP="007C39EB">
            <w:pPr>
              <w:pStyle w:val="BodyText"/>
              <w:jc w:val="center"/>
            </w:pPr>
            <w:r>
              <w:br/>
            </w:r>
            <w:r w:rsidR="00D72D3A">
              <w:rPr>
                <w:noProof/>
              </w:rPr>
              <w:drawing>
                <wp:inline distT="0" distB="0" distL="0" distR="0" wp14:anchorId="069A9C5A" wp14:editId="30BF36F8">
                  <wp:extent cx="792549" cy="792549"/>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0"/>
                          <a:stretch>
                            <a:fillRect/>
                          </a:stretch>
                        </pic:blipFill>
                        <pic:spPr>
                          <a:xfrm>
                            <a:off x="0" y="0"/>
                            <a:ext cx="792549" cy="792549"/>
                          </a:xfrm>
                          <a:prstGeom prst="rect">
                            <a:avLst/>
                          </a:prstGeom>
                        </pic:spPr>
                      </pic:pic>
                    </a:graphicData>
                  </a:graphic>
                </wp:inline>
              </w:drawing>
            </w:r>
          </w:p>
        </w:tc>
      </w:tr>
      <w:tr w:rsidR="00D72D3A" w:rsidRPr="00D72D3A" w14:paraId="520A72DA" w14:textId="77777777" w:rsidTr="00F753B0">
        <w:tc>
          <w:tcPr>
            <w:tcW w:w="2095" w:type="dxa"/>
            <w:shd w:val="clear" w:color="auto" w:fill="F2F2F2" w:themeFill="background1" w:themeFillShade="F2"/>
          </w:tcPr>
          <w:p w14:paraId="6CA3B008" w14:textId="411D2F5F" w:rsidR="00D72D3A" w:rsidRPr="00F753B0" w:rsidRDefault="00D72D3A" w:rsidP="007C39EB">
            <w:pPr>
              <w:pStyle w:val="BodyText"/>
              <w:jc w:val="center"/>
              <w:rPr>
                <w:b/>
                <w:bCs/>
              </w:rPr>
            </w:pPr>
            <w:r w:rsidRPr="00F753B0">
              <w:rPr>
                <w:b/>
                <w:bCs/>
              </w:rPr>
              <w:t>Respect</w:t>
            </w:r>
          </w:p>
        </w:tc>
        <w:tc>
          <w:tcPr>
            <w:tcW w:w="2095" w:type="dxa"/>
            <w:shd w:val="clear" w:color="auto" w:fill="F2F2F2" w:themeFill="background1" w:themeFillShade="F2"/>
          </w:tcPr>
          <w:p w14:paraId="5EA505E3" w14:textId="7BDD5240" w:rsidR="00D72D3A" w:rsidRPr="00F753B0" w:rsidRDefault="00D72D3A" w:rsidP="007C39EB">
            <w:pPr>
              <w:pStyle w:val="BodyText"/>
              <w:jc w:val="center"/>
              <w:rPr>
                <w:b/>
                <w:bCs/>
              </w:rPr>
            </w:pPr>
            <w:r w:rsidRPr="00F753B0">
              <w:rPr>
                <w:b/>
                <w:bCs/>
              </w:rPr>
              <w:t>Teamwork</w:t>
            </w:r>
          </w:p>
        </w:tc>
        <w:tc>
          <w:tcPr>
            <w:tcW w:w="2096" w:type="dxa"/>
            <w:shd w:val="clear" w:color="auto" w:fill="F2F2F2" w:themeFill="background1" w:themeFillShade="F2"/>
          </w:tcPr>
          <w:p w14:paraId="7BDFAD5A" w14:textId="184E64FF" w:rsidR="00D72D3A" w:rsidRPr="00F753B0" w:rsidRDefault="00D72D3A" w:rsidP="007C39EB">
            <w:pPr>
              <w:pStyle w:val="BodyText"/>
              <w:jc w:val="center"/>
              <w:rPr>
                <w:b/>
                <w:bCs/>
              </w:rPr>
            </w:pPr>
            <w:r w:rsidRPr="00F753B0">
              <w:rPr>
                <w:b/>
                <w:bCs/>
              </w:rPr>
              <w:t>Compassion</w:t>
            </w:r>
          </w:p>
        </w:tc>
        <w:tc>
          <w:tcPr>
            <w:tcW w:w="2096" w:type="dxa"/>
            <w:shd w:val="clear" w:color="auto" w:fill="F2F2F2" w:themeFill="background1" w:themeFillShade="F2"/>
          </w:tcPr>
          <w:p w14:paraId="4F0A585F" w14:textId="01AF07EF" w:rsidR="00D72D3A" w:rsidRPr="00F753B0" w:rsidRDefault="00D72D3A" w:rsidP="007C39EB">
            <w:pPr>
              <w:pStyle w:val="BodyText"/>
              <w:jc w:val="center"/>
              <w:rPr>
                <w:b/>
                <w:bCs/>
              </w:rPr>
            </w:pPr>
            <w:r w:rsidRPr="00F753B0">
              <w:rPr>
                <w:b/>
                <w:bCs/>
              </w:rPr>
              <w:t>High performance</w:t>
            </w:r>
          </w:p>
        </w:tc>
        <w:tc>
          <w:tcPr>
            <w:tcW w:w="2096" w:type="dxa"/>
            <w:shd w:val="clear" w:color="auto" w:fill="F2F2F2" w:themeFill="background1" w:themeFillShade="F2"/>
          </w:tcPr>
          <w:p w14:paraId="5AED05F5" w14:textId="4838F441" w:rsidR="00D72D3A" w:rsidRPr="00F753B0" w:rsidRDefault="00D72D3A" w:rsidP="007C39EB">
            <w:pPr>
              <w:pStyle w:val="BodyText"/>
              <w:jc w:val="center"/>
              <w:rPr>
                <w:b/>
                <w:bCs/>
              </w:rPr>
            </w:pPr>
            <w:r w:rsidRPr="00F753B0">
              <w:rPr>
                <w:b/>
                <w:bCs/>
              </w:rPr>
              <w:t>Integrity</w:t>
            </w:r>
          </w:p>
        </w:tc>
      </w:tr>
      <w:tr w:rsidR="00D72D3A" w14:paraId="253AE34B" w14:textId="77777777" w:rsidTr="00F753B0">
        <w:tc>
          <w:tcPr>
            <w:tcW w:w="2095" w:type="dxa"/>
            <w:shd w:val="clear" w:color="auto" w:fill="F2F2F2" w:themeFill="background1" w:themeFillShade="F2"/>
          </w:tcPr>
          <w:p w14:paraId="40E1C099" w14:textId="77777777" w:rsidR="00D72D3A" w:rsidRDefault="00D72D3A" w:rsidP="007C39EB">
            <w:pPr>
              <w:pStyle w:val="BodyText"/>
              <w:numPr>
                <w:ilvl w:val="0"/>
                <w:numId w:val="25"/>
              </w:numPr>
            </w:pPr>
            <w:r>
              <w:t>Interpersonal savvy</w:t>
            </w:r>
          </w:p>
          <w:p w14:paraId="50C131B0" w14:textId="39A9E619" w:rsidR="00D72D3A" w:rsidRDefault="00D72D3A" w:rsidP="007C39EB">
            <w:pPr>
              <w:pStyle w:val="BodyText"/>
              <w:numPr>
                <w:ilvl w:val="0"/>
                <w:numId w:val="25"/>
              </w:numPr>
            </w:pPr>
            <w:r>
              <w:t xml:space="preserve">Manages </w:t>
            </w:r>
            <w:proofErr w:type="gramStart"/>
            <w:r>
              <w:t>conflic</w:t>
            </w:r>
            <w:r w:rsidR="00076879">
              <w:t>t</w:t>
            </w:r>
            <w:proofErr w:type="gramEnd"/>
          </w:p>
          <w:p w14:paraId="7A8BFDB6" w14:textId="47D9CE39" w:rsidR="00D72D3A" w:rsidRDefault="00D72D3A" w:rsidP="007C39EB">
            <w:pPr>
              <w:pStyle w:val="BodyText"/>
              <w:numPr>
                <w:ilvl w:val="0"/>
                <w:numId w:val="25"/>
              </w:numPr>
            </w:pPr>
            <w:r>
              <w:t xml:space="preserve">Communicates </w:t>
            </w:r>
            <w:proofErr w:type="gramStart"/>
            <w:r>
              <w:t>effectively</w:t>
            </w:r>
            <w:proofErr w:type="gramEnd"/>
          </w:p>
          <w:p w14:paraId="75E4EFC8" w14:textId="5234AB94" w:rsidR="00D72D3A" w:rsidRDefault="00D72D3A" w:rsidP="007C39EB">
            <w:pPr>
              <w:pStyle w:val="BodyText"/>
              <w:numPr>
                <w:ilvl w:val="0"/>
                <w:numId w:val="25"/>
              </w:numPr>
            </w:pPr>
            <w:r>
              <w:t>Balances stakeholders</w:t>
            </w:r>
          </w:p>
        </w:tc>
        <w:tc>
          <w:tcPr>
            <w:tcW w:w="2095" w:type="dxa"/>
            <w:shd w:val="clear" w:color="auto" w:fill="F2F2F2" w:themeFill="background1" w:themeFillShade="F2"/>
          </w:tcPr>
          <w:p w14:paraId="1F1E6A1A" w14:textId="77777777" w:rsidR="00D72D3A" w:rsidRDefault="00D72D3A" w:rsidP="007C39EB">
            <w:pPr>
              <w:pStyle w:val="BodyText"/>
              <w:numPr>
                <w:ilvl w:val="0"/>
                <w:numId w:val="25"/>
              </w:numPr>
            </w:pPr>
            <w:r>
              <w:t>Collaborates</w:t>
            </w:r>
          </w:p>
          <w:p w14:paraId="30FC3433" w14:textId="45ED2666" w:rsidR="00D72D3A" w:rsidRDefault="00D72D3A" w:rsidP="007C39EB">
            <w:pPr>
              <w:pStyle w:val="BodyText"/>
              <w:numPr>
                <w:ilvl w:val="0"/>
                <w:numId w:val="25"/>
              </w:numPr>
            </w:pPr>
            <w:r>
              <w:t xml:space="preserve">Develops </w:t>
            </w:r>
            <w:r w:rsidR="00076879">
              <w:br/>
            </w:r>
            <w:proofErr w:type="gramStart"/>
            <w:r>
              <w:t>talent</w:t>
            </w:r>
            <w:proofErr w:type="gramEnd"/>
          </w:p>
          <w:p w14:paraId="0D4E3B92" w14:textId="77777777" w:rsidR="00D72D3A" w:rsidRDefault="00D72D3A" w:rsidP="007C39EB">
            <w:pPr>
              <w:pStyle w:val="BodyText"/>
              <w:numPr>
                <w:ilvl w:val="0"/>
                <w:numId w:val="25"/>
              </w:numPr>
            </w:pPr>
            <w:r>
              <w:t>Values differences</w:t>
            </w:r>
          </w:p>
          <w:p w14:paraId="6ACFBCA5" w14:textId="42625F9F" w:rsidR="00D72D3A" w:rsidRDefault="00D72D3A" w:rsidP="007C39EB">
            <w:pPr>
              <w:pStyle w:val="BodyText"/>
              <w:numPr>
                <w:ilvl w:val="0"/>
                <w:numId w:val="25"/>
              </w:numPr>
            </w:pPr>
            <w:r>
              <w:t>Builds effective teams</w:t>
            </w:r>
          </w:p>
        </w:tc>
        <w:tc>
          <w:tcPr>
            <w:tcW w:w="2096" w:type="dxa"/>
            <w:shd w:val="clear" w:color="auto" w:fill="F2F2F2" w:themeFill="background1" w:themeFillShade="F2"/>
          </w:tcPr>
          <w:p w14:paraId="7779F2E7" w14:textId="77777777" w:rsidR="00D72D3A" w:rsidRDefault="00D72D3A" w:rsidP="007C39EB">
            <w:pPr>
              <w:pStyle w:val="BodyText"/>
              <w:numPr>
                <w:ilvl w:val="0"/>
                <w:numId w:val="25"/>
              </w:numPr>
            </w:pPr>
            <w:r>
              <w:t>Customer / patient focus</w:t>
            </w:r>
          </w:p>
          <w:p w14:paraId="5864DA55" w14:textId="77777777" w:rsidR="00D72D3A" w:rsidRDefault="00D72D3A" w:rsidP="007C39EB">
            <w:pPr>
              <w:pStyle w:val="BodyText"/>
              <w:numPr>
                <w:ilvl w:val="0"/>
                <w:numId w:val="25"/>
              </w:numPr>
            </w:pPr>
            <w:r>
              <w:t xml:space="preserve">Demonstrates </w:t>
            </w:r>
            <w:proofErr w:type="gramStart"/>
            <w:r>
              <w:t>self-awareness</w:t>
            </w:r>
            <w:proofErr w:type="gramEnd"/>
          </w:p>
          <w:p w14:paraId="68A91671" w14:textId="77777777" w:rsidR="00D72D3A" w:rsidRDefault="00D72D3A" w:rsidP="007C39EB">
            <w:pPr>
              <w:pStyle w:val="BodyText"/>
              <w:numPr>
                <w:ilvl w:val="0"/>
                <w:numId w:val="25"/>
              </w:numPr>
            </w:pPr>
            <w:r>
              <w:t xml:space="preserve">Manages </w:t>
            </w:r>
            <w:proofErr w:type="gramStart"/>
            <w:r>
              <w:t>ambiguity</w:t>
            </w:r>
            <w:proofErr w:type="gramEnd"/>
          </w:p>
          <w:p w14:paraId="3E8502D9" w14:textId="3AC84368" w:rsidR="00D72D3A" w:rsidRDefault="00D72D3A" w:rsidP="007C39EB">
            <w:pPr>
              <w:pStyle w:val="BodyText"/>
              <w:numPr>
                <w:ilvl w:val="0"/>
                <w:numId w:val="25"/>
              </w:numPr>
            </w:pPr>
            <w:r>
              <w:t>Being resilient</w:t>
            </w:r>
          </w:p>
        </w:tc>
        <w:tc>
          <w:tcPr>
            <w:tcW w:w="2096" w:type="dxa"/>
            <w:shd w:val="clear" w:color="auto" w:fill="F2F2F2" w:themeFill="background1" w:themeFillShade="F2"/>
          </w:tcPr>
          <w:p w14:paraId="6D6EE42A" w14:textId="77777777" w:rsidR="00D72D3A" w:rsidRDefault="00D72D3A" w:rsidP="007C39EB">
            <w:pPr>
              <w:pStyle w:val="BodyText"/>
              <w:numPr>
                <w:ilvl w:val="0"/>
                <w:numId w:val="25"/>
              </w:numPr>
            </w:pPr>
            <w:r>
              <w:t xml:space="preserve">Cultivates </w:t>
            </w:r>
            <w:proofErr w:type="gramStart"/>
            <w:r>
              <w:t>innovation</w:t>
            </w:r>
            <w:proofErr w:type="gramEnd"/>
          </w:p>
          <w:p w14:paraId="674B5F21" w14:textId="74EB72EF" w:rsidR="00D72D3A" w:rsidRDefault="00D72D3A" w:rsidP="007C39EB">
            <w:pPr>
              <w:pStyle w:val="BodyText"/>
              <w:numPr>
                <w:ilvl w:val="0"/>
                <w:numId w:val="25"/>
              </w:numPr>
            </w:pPr>
            <w:r>
              <w:t xml:space="preserve">Action </w:t>
            </w:r>
            <w:r w:rsidR="00076879">
              <w:br/>
            </w:r>
            <w:r>
              <w:t>oriented</w:t>
            </w:r>
          </w:p>
          <w:p w14:paraId="2B2EF60C" w14:textId="77777777" w:rsidR="00D72D3A" w:rsidRDefault="00D72D3A" w:rsidP="007C39EB">
            <w:pPr>
              <w:pStyle w:val="BodyText"/>
              <w:numPr>
                <w:ilvl w:val="0"/>
                <w:numId w:val="25"/>
              </w:numPr>
            </w:pPr>
            <w:r>
              <w:t xml:space="preserve">Drives </w:t>
            </w:r>
            <w:proofErr w:type="gramStart"/>
            <w:r>
              <w:t>results</w:t>
            </w:r>
            <w:proofErr w:type="gramEnd"/>
          </w:p>
          <w:p w14:paraId="0FCB10E2" w14:textId="51D72F6E" w:rsidR="00D72D3A" w:rsidRDefault="00D72D3A" w:rsidP="007C39EB">
            <w:pPr>
              <w:pStyle w:val="BodyText"/>
              <w:numPr>
                <w:ilvl w:val="0"/>
                <w:numId w:val="25"/>
              </w:numPr>
            </w:pPr>
            <w:r>
              <w:t>Drives vision and purpose</w:t>
            </w:r>
          </w:p>
        </w:tc>
        <w:tc>
          <w:tcPr>
            <w:tcW w:w="2096" w:type="dxa"/>
            <w:shd w:val="clear" w:color="auto" w:fill="F2F2F2" w:themeFill="background1" w:themeFillShade="F2"/>
          </w:tcPr>
          <w:p w14:paraId="053525C3" w14:textId="35E6DE50" w:rsidR="00D72D3A" w:rsidRDefault="00D72D3A" w:rsidP="007C39EB">
            <w:pPr>
              <w:pStyle w:val="BodyText"/>
              <w:numPr>
                <w:ilvl w:val="0"/>
                <w:numId w:val="25"/>
              </w:numPr>
            </w:pPr>
            <w:r>
              <w:t xml:space="preserve">Decision </w:t>
            </w:r>
            <w:r w:rsidR="00076879">
              <w:br/>
            </w:r>
            <w:r>
              <w:t>quality</w:t>
            </w:r>
          </w:p>
          <w:p w14:paraId="61EFD0F4" w14:textId="77777777" w:rsidR="00D72D3A" w:rsidRDefault="00D72D3A" w:rsidP="007C39EB">
            <w:pPr>
              <w:pStyle w:val="BodyText"/>
              <w:numPr>
                <w:ilvl w:val="0"/>
                <w:numId w:val="25"/>
              </w:numPr>
            </w:pPr>
            <w:r>
              <w:t xml:space="preserve">Ensures </w:t>
            </w:r>
            <w:proofErr w:type="gramStart"/>
            <w:r>
              <w:t>accountability</w:t>
            </w:r>
            <w:proofErr w:type="gramEnd"/>
          </w:p>
          <w:p w14:paraId="0688047B" w14:textId="77777777" w:rsidR="00D72D3A" w:rsidRDefault="00D72D3A" w:rsidP="007C39EB">
            <w:pPr>
              <w:pStyle w:val="BodyText"/>
              <w:numPr>
                <w:ilvl w:val="0"/>
                <w:numId w:val="25"/>
              </w:numPr>
            </w:pPr>
            <w:r>
              <w:t>Courage</w:t>
            </w:r>
          </w:p>
          <w:p w14:paraId="7C535D9A" w14:textId="58B24E8E" w:rsidR="00D72D3A" w:rsidRDefault="00D72D3A" w:rsidP="007C39EB">
            <w:pPr>
              <w:pStyle w:val="BodyText"/>
              <w:numPr>
                <w:ilvl w:val="0"/>
                <w:numId w:val="25"/>
              </w:numPr>
            </w:pPr>
            <w:r>
              <w:t>Manages complexity</w:t>
            </w:r>
          </w:p>
        </w:tc>
      </w:tr>
    </w:tbl>
    <w:p w14:paraId="1A850B4D" w14:textId="78206261" w:rsidR="00643332" w:rsidRPr="006D518E" w:rsidRDefault="00643332" w:rsidP="007C39EB">
      <w:pPr>
        <w:pStyle w:val="Heading2"/>
        <w:spacing w:line="276" w:lineRule="auto"/>
        <w:rPr>
          <w:color w:val="auto"/>
          <w:sz w:val="20"/>
        </w:rPr>
      </w:pPr>
      <w:r>
        <w:rPr>
          <w:color w:val="00778B"/>
          <w:sz w:val="20"/>
          <w:szCs w:val="20"/>
        </w:rPr>
        <w:t xml:space="preserve">How you will be assessed </w:t>
      </w:r>
    </w:p>
    <w:p w14:paraId="4CB157E6" w14:textId="77777777" w:rsidR="00643332" w:rsidRDefault="00643332" w:rsidP="007C39EB">
      <w:pPr>
        <w:spacing w:line="276" w:lineRule="auto"/>
        <w:rPr>
          <w:rFonts w:cs="Arial"/>
          <w:color w:val="FF0000"/>
        </w:rPr>
      </w:pPr>
    </w:p>
    <w:p w14:paraId="4A85E101" w14:textId="77777777" w:rsidR="00643332" w:rsidRDefault="00643332" w:rsidP="007C39EB">
      <w:pPr>
        <w:spacing w:line="276" w:lineRule="auto"/>
        <w:rPr>
          <w:rFonts w:cs="Arial"/>
        </w:rPr>
      </w:pPr>
      <w:r>
        <w:rPr>
          <w:rFonts w:cs="Arial"/>
        </w:rPr>
        <w:t>You will be assessed on your ability to demonstrate the following values within the context of the “Key Accountabilities”. The ideal applicant will be able to demonstrate the following:</w:t>
      </w:r>
    </w:p>
    <w:p w14:paraId="0D15C406" w14:textId="77777777" w:rsidR="00643332" w:rsidRDefault="00643332" w:rsidP="007C39EB">
      <w:pPr>
        <w:spacing w:line="276" w:lineRule="auto"/>
        <w:rPr>
          <w:rFonts w:cs="Arial"/>
        </w:rPr>
      </w:pPr>
    </w:p>
    <w:p w14:paraId="170DD9CC" w14:textId="06557330" w:rsidR="00643332" w:rsidRDefault="00643332" w:rsidP="007C39EB">
      <w:pPr>
        <w:numPr>
          <w:ilvl w:val="0"/>
          <w:numId w:val="20"/>
        </w:numPr>
        <w:spacing w:line="276" w:lineRule="auto"/>
        <w:rPr>
          <w:rFonts w:cs="Arial"/>
        </w:rPr>
      </w:pPr>
      <w:r>
        <w:rPr>
          <w:rFonts w:cs="Arial"/>
          <w:b/>
        </w:rPr>
        <w:t>Respect</w:t>
      </w:r>
      <w:r>
        <w:rPr>
          <w:rFonts w:cs="Arial"/>
        </w:rPr>
        <w:t xml:space="preserve"> – demonstrates interpersonal savvy, manages conflict appropriately, communicates effectively and balances the needs of all stakeholders with utmost respect to all people at all </w:t>
      </w:r>
      <w:proofErr w:type="gramStart"/>
      <w:r>
        <w:rPr>
          <w:rFonts w:cs="Arial"/>
        </w:rPr>
        <w:t>times</w:t>
      </w:r>
      <w:proofErr w:type="gramEnd"/>
      <w:r>
        <w:rPr>
          <w:rFonts w:cs="Arial"/>
        </w:rPr>
        <w:t xml:space="preserve"> </w:t>
      </w:r>
      <w:r>
        <w:rPr>
          <w:rFonts w:cs="Arial"/>
          <w:color w:val="FF0000"/>
        </w:rPr>
        <w:t xml:space="preserve"> </w:t>
      </w:r>
    </w:p>
    <w:p w14:paraId="096922C2" w14:textId="1730AF83" w:rsidR="00643332" w:rsidRDefault="00643332" w:rsidP="007C39EB">
      <w:pPr>
        <w:numPr>
          <w:ilvl w:val="0"/>
          <w:numId w:val="20"/>
        </w:numPr>
        <w:spacing w:line="276" w:lineRule="auto"/>
        <w:rPr>
          <w:rFonts w:cs="Arial"/>
          <w:color w:val="FF0000"/>
        </w:rPr>
      </w:pPr>
      <w:r>
        <w:rPr>
          <w:rFonts w:cs="Arial"/>
          <w:b/>
        </w:rPr>
        <w:t>Teamwork</w:t>
      </w:r>
      <w:r>
        <w:rPr>
          <w:rFonts w:cs="Arial"/>
        </w:rPr>
        <w:t xml:space="preserve"> – collaborates effectively, develops talent, values </w:t>
      </w:r>
      <w:proofErr w:type="gramStart"/>
      <w:r>
        <w:rPr>
          <w:rFonts w:cs="Arial"/>
        </w:rPr>
        <w:t>differences</w:t>
      </w:r>
      <w:proofErr w:type="gramEnd"/>
      <w:r>
        <w:rPr>
          <w:rFonts w:cs="Arial"/>
        </w:rPr>
        <w:t xml:space="preserve"> and builds effective teams to bring about best use of resources to deliver healthcare services </w:t>
      </w:r>
    </w:p>
    <w:p w14:paraId="21671012" w14:textId="41C9FB79" w:rsidR="00643332" w:rsidRDefault="00643332" w:rsidP="007C39EB">
      <w:pPr>
        <w:numPr>
          <w:ilvl w:val="0"/>
          <w:numId w:val="20"/>
        </w:numPr>
        <w:spacing w:line="276" w:lineRule="auto"/>
        <w:rPr>
          <w:rFonts w:cs="Arial"/>
          <w:color w:val="FF0000"/>
        </w:rPr>
      </w:pPr>
      <w:r>
        <w:rPr>
          <w:rFonts w:cs="Arial"/>
          <w:b/>
        </w:rPr>
        <w:lastRenderedPageBreak/>
        <w:t>Compassion</w:t>
      </w:r>
      <w:r>
        <w:rPr>
          <w:rFonts w:cs="Arial"/>
        </w:rPr>
        <w:t xml:space="preserve"> – is patient / client focussed, demonstrates self-awareness and the effects of behaviour on others, deals with or manages ambiguity and complexity, demonstrates resilience in the delivery of patient services or support in the delivery of services to </w:t>
      </w:r>
      <w:proofErr w:type="gramStart"/>
      <w:r>
        <w:rPr>
          <w:rFonts w:cs="Arial"/>
        </w:rPr>
        <w:t>patients</w:t>
      </w:r>
      <w:proofErr w:type="gramEnd"/>
    </w:p>
    <w:p w14:paraId="09E040BC" w14:textId="7CC12459" w:rsidR="00643332" w:rsidRDefault="00643332" w:rsidP="007C39EB">
      <w:pPr>
        <w:numPr>
          <w:ilvl w:val="0"/>
          <w:numId w:val="20"/>
        </w:numPr>
        <w:spacing w:line="276" w:lineRule="auto"/>
        <w:rPr>
          <w:rFonts w:cs="Arial"/>
        </w:rPr>
      </w:pPr>
      <w:r>
        <w:rPr>
          <w:rFonts w:cs="Arial"/>
          <w:b/>
        </w:rPr>
        <w:t>High Performance</w:t>
      </w:r>
      <w:r>
        <w:rPr>
          <w:rFonts w:cs="Arial"/>
        </w:rPr>
        <w:t xml:space="preserve"> – cultivates innovation, is action oriented, drives results and supports Metro North Health’s vision and purpose to exceed expectations of our patients and </w:t>
      </w:r>
      <w:proofErr w:type="gramStart"/>
      <w:r>
        <w:rPr>
          <w:rFonts w:cs="Arial"/>
        </w:rPr>
        <w:t>stakeholders</w:t>
      </w:r>
      <w:proofErr w:type="gramEnd"/>
      <w:r>
        <w:rPr>
          <w:rFonts w:cs="Arial"/>
        </w:rPr>
        <w:t xml:space="preserve"> </w:t>
      </w:r>
    </w:p>
    <w:p w14:paraId="19111062" w14:textId="189C70E8" w:rsidR="00643332" w:rsidRPr="006D518E" w:rsidRDefault="00643332" w:rsidP="007C39EB">
      <w:pPr>
        <w:numPr>
          <w:ilvl w:val="0"/>
          <w:numId w:val="20"/>
        </w:numPr>
        <w:spacing w:line="276" w:lineRule="auto"/>
        <w:rPr>
          <w:rFonts w:cs="Arial"/>
          <w:color w:val="FF0000"/>
        </w:rPr>
      </w:pPr>
      <w:r>
        <w:rPr>
          <w:rFonts w:cs="Arial"/>
          <w:b/>
        </w:rPr>
        <w:t>Integrity</w:t>
      </w:r>
      <w:r>
        <w:rPr>
          <w:rFonts w:cs="Arial"/>
        </w:rPr>
        <w:t xml:space="preserve"> – demonstrates sound decision quality, ensures accountability, demonstrates courage in the face of adversity and works effectively / manages complexity to ensure work output and decisions are ethical and invariably of a high </w:t>
      </w:r>
      <w:proofErr w:type="gramStart"/>
      <w:r>
        <w:rPr>
          <w:rFonts w:cs="Arial"/>
        </w:rPr>
        <w:t>standard</w:t>
      </w:r>
      <w:proofErr w:type="gramEnd"/>
      <w:r>
        <w:rPr>
          <w:rFonts w:cs="Arial"/>
        </w:rPr>
        <w:t xml:space="preserve"> </w:t>
      </w:r>
    </w:p>
    <w:p w14:paraId="3C7451BB" w14:textId="0BDC0EAE" w:rsidR="00643332" w:rsidRPr="00F228FE" w:rsidRDefault="00643332" w:rsidP="007C39EB">
      <w:pPr>
        <w:pStyle w:val="Heading2"/>
        <w:rPr>
          <w:color w:val="00778B"/>
          <w:sz w:val="20"/>
          <w:szCs w:val="20"/>
        </w:rPr>
      </w:pPr>
      <w:r>
        <w:rPr>
          <w:color w:val="00778B"/>
          <w:sz w:val="20"/>
          <w:szCs w:val="20"/>
        </w:rPr>
        <w:t>Mandatory qualifications/professional registration/other requirements</w:t>
      </w:r>
    </w:p>
    <w:p w14:paraId="24E6BB29" w14:textId="62508157" w:rsidR="00367213" w:rsidRDefault="00367213" w:rsidP="00D8671C">
      <w:pPr>
        <w:numPr>
          <w:ilvl w:val="0"/>
          <w:numId w:val="21"/>
        </w:numPr>
        <w:autoSpaceDN w:val="0"/>
        <w:spacing w:line="276" w:lineRule="auto"/>
        <w:ind w:left="284" w:hanging="284"/>
        <w:jc w:val="both"/>
        <w:rPr>
          <w:rFonts w:cs="Arial"/>
        </w:rPr>
      </w:pPr>
      <w:r>
        <w:rPr>
          <w:rFonts w:cs="Arial"/>
        </w:rPr>
        <w:t>Appointment to this position requires proof of qualification and registration with the Medical Board of Australia.</w:t>
      </w:r>
      <w:r w:rsidR="00D8671C">
        <w:rPr>
          <w:rFonts w:cs="Arial"/>
        </w:rPr>
        <w:t xml:space="preserve"> </w:t>
      </w:r>
      <w:r>
        <w:rPr>
          <w:rFonts w:cs="Arial"/>
        </w:rPr>
        <w:t xml:space="preserve">Certified copies of the required information must be provided to the appropriate supervisor/manager prior to the commencement of clinical duties. </w:t>
      </w:r>
    </w:p>
    <w:p w14:paraId="42A6D90E" w14:textId="2C594033" w:rsidR="00367213" w:rsidRDefault="00367213" w:rsidP="00D8671C">
      <w:pPr>
        <w:numPr>
          <w:ilvl w:val="0"/>
          <w:numId w:val="21"/>
        </w:numPr>
        <w:autoSpaceDN w:val="0"/>
        <w:spacing w:line="276" w:lineRule="auto"/>
        <w:ind w:left="284" w:hanging="284"/>
        <w:jc w:val="both"/>
        <w:rPr>
          <w:rFonts w:cs="Arial"/>
        </w:rPr>
      </w:pPr>
      <w:r>
        <w:rPr>
          <w:rFonts w:cs="Arial"/>
        </w:rPr>
        <w:t>The successful applicant would have entered the RACP Advanced Training program in Neurology and have completed two years of advanced training in neurology prior to beginning in this role (but not necessarily at the time of application).</w:t>
      </w:r>
    </w:p>
    <w:p w14:paraId="77009D52" w14:textId="0EF34CA8" w:rsidR="00902256" w:rsidRPr="00902256" w:rsidRDefault="00902256" w:rsidP="00D8671C">
      <w:pPr>
        <w:numPr>
          <w:ilvl w:val="0"/>
          <w:numId w:val="21"/>
        </w:numPr>
        <w:autoSpaceDN w:val="0"/>
        <w:spacing w:line="276" w:lineRule="auto"/>
        <w:ind w:left="284" w:hanging="284"/>
        <w:jc w:val="both"/>
        <w:rPr>
          <w:rFonts w:cs="Arial"/>
        </w:rPr>
      </w:pPr>
      <w:bookmarkStart w:id="2" w:name="_Hlk163746849"/>
      <w:r>
        <w:rPr>
          <w:rFonts w:cs="Arial"/>
        </w:rPr>
        <w:t xml:space="preserve">The role would also be suitable for an applicant who had completed the RACP Advanced Training program in </w:t>
      </w:r>
      <w:bookmarkEnd w:id="2"/>
      <w:r w:rsidR="00D8671C">
        <w:rPr>
          <w:rFonts w:cs="Arial"/>
        </w:rPr>
        <w:t>Neurology.</w:t>
      </w:r>
    </w:p>
    <w:p w14:paraId="6DC16FBC" w14:textId="1EF2783B" w:rsidR="00643332" w:rsidRDefault="00643332" w:rsidP="00D8671C">
      <w:pPr>
        <w:pStyle w:val="BodyText"/>
        <w:numPr>
          <w:ilvl w:val="0"/>
          <w:numId w:val="21"/>
        </w:numPr>
        <w:spacing w:before="0" w:line="240" w:lineRule="auto"/>
        <w:ind w:left="284" w:hanging="284"/>
        <w:rPr>
          <w:rFonts w:ascii="Arial" w:hAnsi="Arial" w:cs="Arial"/>
          <w:szCs w:val="20"/>
        </w:rPr>
      </w:pPr>
      <w:r>
        <w:rPr>
          <w:rFonts w:ascii="Arial" w:hAnsi="Arial" w:cs="Arial"/>
          <w:szCs w:val="20"/>
        </w:rPr>
        <w:t>It is a condition of employment for this role for the employee to be, and remain, vaccinated against the following vaccine preventable diseases during their employment (</w:t>
      </w:r>
      <w:hyperlink r:id="rId21" w:history="1">
        <w:r>
          <w:rPr>
            <w:rStyle w:val="Hyperlink"/>
            <w:rFonts w:cs="Arial"/>
            <w:szCs w:val="20"/>
          </w:rPr>
          <w:t>Health Employment Directive No. 01/16</w:t>
        </w:r>
      </w:hyperlink>
      <w:r>
        <w:rPr>
          <w:rFonts w:ascii="Arial" w:hAnsi="Arial" w:cs="Arial"/>
          <w:szCs w:val="20"/>
        </w:rPr>
        <w:t xml:space="preserve">): </w:t>
      </w:r>
      <w:r>
        <w:rPr>
          <w:rFonts w:ascii="Arial" w:hAnsi="Arial" w:cs="Arial"/>
          <w:color w:val="FF0000"/>
          <w:szCs w:val="20"/>
        </w:rPr>
        <w:t xml:space="preserve"> </w:t>
      </w:r>
    </w:p>
    <w:p w14:paraId="30E87A08" w14:textId="77777777" w:rsidR="00643332" w:rsidRDefault="00643332" w:rsidP="007C39EB">
      <w:pPr>
        <w:pStyle w:val="BodyText"/>
        <w:numPr>
          <w:ilvl w:val="3"/>
          <w:numId w:val="21"/>
        </w:numPr>
        <w:spacing w:before="0" w:line="240" w:lineRule="auto"/>
        <w:rPr>
          <w:rFonts w:ascii="Arial" w:hAnsi="Arial" w:cs="Arial"/>
          <w:szCs w:val="20"/>
        </w:rPr>
      </w:pPr>
      <w:r>
        <w:rPr>
          <w:rFonts w:ascii="Arial" w:hAnsi="Arial" w:cs="Arial"/>
          <w:szCs w:val="20"/>
        </w:rPr>
        <w:t>Measles, mumps, rubella (MMR)</w:t>
      </w:r>
    </w:p>
    <w:p w14:paraId="619E4CC3" w14:textId="77777777" w:rsidR="00643332" w:rsidRDefault="00643332" w:rsidP="007C39EB">
      <w:pPr>
        <w:pStyle w:val="BodyText"/>
        <w:numPr>
          <w:ilvl w:val="3"/>
          <w:numId w:val="21"/>
        </w:numPr>
        <w:spacing w:before="0" w:line="240" w:lineRule="auto"/>
        <w:rPr>
          <w:rFonts w:ascii="Arial" w:hAnsi="Arial" w:cs="Arial"/>
          <w:szCs w:val="20"/>
        </w:rPr>
      </w:pPr>
      <w:r>
        <w:rPr>
          <w:rFonts w:ascii="Arial" w:hAnsi="Arial" w:cs="Arial"/>
          <w:szCs w:val="20"/>
        </w:rPr>
        <w:t>Varicella (chicken pox)</w:t>
      </w:r>
    </w:p>
    <w:p w14:paraId="10F3B61A" w14:textId="77777777" w:rsidR="00643332" w:rsidRDefault="00643332" w:rsidP="007C39EB">
      <w:pPr>
        <w:pStyle w:val="BodyText"/>
        <w:numPr>
          <w:ilvl w:val="3"/>
          <w:numId w:val="21"/>
        </w:numPr>
        <w:spacing w:before="0" w:line="240" w:lineRule="auto"/>
        <w:rPr>
          <w:rFonts w:ascii="Arial" w:hAnsi="Arial" w:cs="Arial"/>
          <w:szCs w:val="20"/>
        </w:rPr>
      </w:pPr>
      <w:r>
        <w:rPr>
          <w:rFonts w:ascii="Arial" w:hAnsi="Arial" w:cs="Arial"/>
          <w:szCs w:val="20"/>
        </w:rPr>
        <w:t>Pertussis (whooping cough)</w:t>
      </w:r>
    </w:p>
    <w:p w14:paraId="709DAE14" w14:textId="77777777" w:rsidR="00643332" w:rsidRDefault="00643332" w:rsidP="007C39EB">
      <w:pPr>
        <w:pStyle w:val="BodyText"/>
        <w:numPr>
          <w:ilvl w:val="3"/>
          <w:numId w:val="21"/>
        </w:numPr>
        <w:spacing w:before="0" w:line="240" w:lineRule="auto"/>
        <w:rPr>
          <w:rFonts w:ascii="Arial" w:hAnsi="Arial" w:cs="Arial"/>
          <w:szCs w:val="20"/>
        </w:rPr>
      </w:pPr>
      <w:r>
        <w:rPr>
          <w:rFonts w:ascii="Arial" w:hAnsi="Arial" w:cs="Arial"/>
          <w:szCs w:val="20"/>
        </w:rPr>
        <w:t>Hepatitis B</w:t>
      </w:r>
    </w:p>
    <w:p w14:paraId="6C2C1CAA" w14:textId="77777777" w:rsidR="00643332" w:rsidRDefault="00643332" w:rsidP="007C39EB">
      <w:pPr>
        <w:pStyle w:val="BodyText"/>
        <w:numPr>
          <w:ilvl w:val="3"/>
          <w:numId w:val="21"/>
        </w:numPr>
        <w:spacing w:before="0" w:line="240" w:lineRule="auto"/>
        <w:rPr>
          <w:rFonts w:ascii="Arial" w:hAnsi="Arial" w:cs="Arial"/>
          <w:szCs w:val="20"/>
        </w:rPr>
      </w:pPr>
      <w:r>
        <w:rPr>
          <w:rFonts w:ascii="Arial" w:hAnsi="Arial" w:cs="Arial"/>
          <w:szCs w:val="20"/>
        </w:rPr>
        <w:t>Tuberculosis</w:t>
      </w:r>
    </w:p>
    <w:p w14:paraId="73549912" w14:textId="77777777" w:rsidR="00643332" w:rsidRDefault="00643332" w:rsidP="007C39EB">
      <w:pPr>
        <w:pStyle w:val="BodyText"/>
        <w:numPr>
          <w:ilvl w:val="0"/>
          <w:numId w:val="21"/>
        </w:numPr>
        <w:spacing w:before="0" w:line="240" w:lineRule="auto"/>
        <w:rPr>
          <w:rFonts w:ascii="Arial" w:hAnsi="Arial" w:cs="Arial"/>
          <w:sz w:val="21"/>
          <w:szCs w:val="21"/>
        </w:rPr>
      </w:pPr>
      <w:r>
        <w:rPr>
          <w:rFonts w:ascii="Arial" w:hAnsi="Arial" w:cs="Arial"/>
          <w:szCs w:val="20"/>
        </w:rPr>
        <w:t xml:space="preserve">It is a condition of employment for this role for the employee to be, and remain, vaccinated against COVID-19 </w:t>
      </w:r>
      <w:r>
        <w:rPr>
          <w:rFonts w:ascii="Arial" w:hAnsi="Arial" w:cs="Arial"/>
        </w:rPr>
        <w:t>(</w:t>
      </w:r>
      <w:hyperlink r:id="rId22" w:history="1">
        <w:r>
          <w:rPr>
            <w:rStyle w:val="Hyperlink"/>
            <w:rFonts w:cs="Arial"/>
            <w:szCs w:val="20"/>
          </w:rPr>
          <w:t>Health Employment Directive No. 12/21</w:t>
        </w:r>
      </w:hyperlink>
      <w:r>
        <w:rPr>
          <w:rFonts w:ascii="Arial" w:hAnsi="Arial" w:cs="Arial"/>
          <w:szCs w:val="20"/>
        </w:rPr>
        <w:t xml:space="preserve"> and </w:t>
      </w:r>
      <w:hyperlink r:id="rId23" w:history="1">
        <w:r>
          <w:rPr>
            <w:rStyle w:val="Hyperlink"/>
            <w:rFonts w:cs="Arial"/>
            <w:szCs w:val="20"/>
          </w:rPr>
          <w:t>Queensland Health Human Resources Policy B70</w:t>
        </w:r>
      </w:hyperlink>
      <w:r>
        <w:rPr>
          <w:rFonts w:ascii="Arial" w:hAnsi="Arial" w:cs="Arial"/>
          <w:szCs w:val="20"/>
        </w:rPr>
        <w:t>.</w:t>
      </w:r>
    </w:p>
    <w:p w14:paraId="163CB1F2" w14:textId="2BB95775" w:rsidR="00643332" w:rsidRDefault="00643332" w:rsidP="007C39EB">
      <w:pPr>
        <w:spacing w:before="280" w:after="180" w:line="276" w:lineRule="auto"/>
        <w:rPr>
          <w:rFonts w:cs="Arial"/>
          <w:bCs/>
          <w:color w:val="FF0000"/>
        </w:rPr>
      </w:pPr>
      <w:r>
        <w:rPr>
          <w:rFonts w:cs="Arial"/>
          <w:b/>
          <w:color w:val="00778B"/>
        </w:rPr>
        <w:t xml:space="preserve">How to apply </w:t>
      </w:r>
    </w:p>
    <w:p w14:paraId="31834836" w14:textId="77777777" w:rsidR="00643332" w:rsidRDefault="00643332" w:rsidP="007C39EB">
      <w:pPr>
        <w:spacing w:line="276" w:lineRule="auto"/>
        <w:rPr>
          <w:rFonts w:cs="Arial"/>
        </w:rPr>
      </w:pPr>
      <w:r>
        <w:rPr>
          <w:rFonts w:cs="Arial"/>
        </w:rPr>
        <w:t>Please provide the following information to the panel to assess your suitability:</w:t>
      </w:r>
    </w:p>
    <w:p w14:paraId="14761B68" w14:textId="77777777" w:rsidR="00643332" w:rsidRDefault="00643332" w:rsidP="007C39EB">
      <w:pPr>
        <w:spacing w:line="276" w:lineRule="auto"/>
        <w:rPr>
          <w:rFonts w:cs="Arial"/>
        </w:rPr>
      </w:pPr>
    </w:p>
    <w:p w14:paraId="12062BD1" w14:textId="77777777" w:rsidR="00643332" w:rsidRDefault="00643332" w:rsidP="007C39EB">
      <w:pPr>
        <w:numPr>
          <w:ilvl w:val="0"/>
          <w:numId w:val="23"/>
        </w:numPr>
        <w:rPr>
          <w:rFonts w:cs="Arial"/>
          <w:b/>
          <w:color w:val="FF0000"/>
        </w:rPr>
      </w:pPr>
      <w:r>
        <w:rPr>
          <w:rFonts w:cs="Arial"/>
          <w:b/>
        </w:rPr>
        <w:t xml:space="preserve">A short statement (maximum 2 pages) - </w:t>
      </w:r>
      <w:r>
        <w:rPr>
          <w:rFonts w:cs="Arial"/>
          <w:bCs/>
        </w:rPr>
        <w:t>Formulate your response</w:t>
      </w:r>
      <w:r>
        <w:rPr>
          <w:rFonts w:cs="Arial"/>
        </w:rPr>
        <w:t xml:space="preserve"> to the dot points listed under “</w:t>
      </w:r>
      <w:r>
        <w:rPr>
          <w:rFonts w:cs="Arial"/>
          <w:i/>
          <w:iCs/>
        </w:rPr>
        <w:t>How you will be Assessed”</w:t>
      </w:r>
      <w:r>
        <w:rPr>
          <w:rFonts w:cs="Arial"/>
        </w:rPr>
        <w:t xml:space="preserve"> within the context of the </w:t>
      </w:r>
      <w:r>
        <w:rPr>
          <w:rFonts w:cs="Arial"/>
          <w:i/>
          <w:iCs/>
        </w:rPr>
        <w:t xml:space="preserve">“Key </w:t>
      </w:r>
      <w:proofErr w:type="gramStart"/>
      <w:r>
        <w:rPr>
          <w:rFonts w:cs="Arial"/>
          <w:i/>
          <w:iCs/>
        </w:rPr>
        <w:t>Accountabilities</w:t>
      </w:r>
      <w:r>
        <w:rPr>
          <w:rFonts w:cs="Arial"/>
        </w:rPr>
        <w:t>”</w:t>
      </w:r>
      <w:proofErr w:type="gramEnd"/>
    </w:p>
    <w:p w14:paraId="11CBABE6" w14:textId="110F740F" w:rsidR="00643332" w:rsidRPr="00367213" w:rsidRDefault="00367213" w:rsidP="007C39EB">
      <w:pPr>
        <w:ind w:left="360"/>
        <w:rPr>
          <w:rFonts w:cs="Arial"/>
          <w:b/>
        </w:rPr>
      </w:pPr>
      <w:r w:rsidRPr="00367213">
        <w:rPr>
          <w:rFonts w:cs="Arial"/>
          <w:b/>
        </w:rPr>
        <w:t>and</w:t>
      </w:r>
    </w:p>
    <w:p w14:paraId="667309CF" w14:textId="48F7B9CA" w:rsidR="00643332" w:rsidRPr="00367213" w:rsidRDefault="00643332" w:rsidP="00367213">
      <w:pPr>
        <w:numPr>
          <w:ilvl w:val="0"/>
          <w:numId w:val="23"/>
        </w:numPr>
        <w:rPr>
          <w:rFonts w:cs="Arial"/>
        </w:rPr>
      </w:pPr>
      <w:r>
        <w:rPr>
          <w:rFonts w:cs="Arial"/>
          <w:b/>
        </w:rPr>
        <w:t>Your current CV or Resume, including referees</w:t>
      </w:r>
      <w:r>
        <w:rPr>
          <w:rFonts w:cs="Arial"/>
        </w:rPr>
        <w:t>.  You must seek approval prior to nominating a person as a referee.  Referees should have thorough knowledge of your work performance and conduct, and it is preferable to include your current/immediate past supervisor.  By providing the names and contact details of your referee/s you consent for these people to be contacted by the selection panel.  If you do not wish for a referee to be contacted, please indicate this on your CV or Resume.</w:t>
      </w:r>
    </w:p>
    <w:p w14:paraId="6FE7D5BF" w14:textId="18E90778" w:rsidR="00643332" w:rsidRDefault="00643332" w:rsidP="007C39EB">
      <w:pPr>
        <w:spacing w:before="280" w:after="180" w:line="276" w:lineRule="auto"/>
        <w:rPr>
          <w:rFonts w:cs="Arial"/>
          <w:b/>
          <w:color w:val="00778B"/>
        </w:rPr>
      </w:pPr>
      <w:r>
        <w:rPr>
          <w:rFonts w:cs="Arial"/>
          <w:b/>
          <w:color w:val="00778B"/>
        </w:rPr>
        <w:t>In</w:t>
      </w:r>
      <w:r w:rsidR="00F228FE">
        <w:rPr>
          <w:rFonts w:cs="Arial"/>
          <w:b/>
          <w:color w:val="00778B"/>
        </w:rPr>
        <w:t>s</w:t>
      </w:r>
      <w:r>
        <w:rPr>
          <w:rFonts w:cs="Arial"/>
          <w:b/>
          <w:color w:val="00778B"/>
        </w:rPr>
        <w:t xml:space="preserve">tructions on how to </w:t>
      </w:r>
      <w:proofErr w:type="gramStart"/>
      <w:r>
        <w:rPr>
          <w:rFonts w:cs="Arial"/>
          <w:b/>
          <w:color w:val="00778B"/>
        </w:rPr>
        <w:t>apply</w:t>
      </w:r>
      <w:proofErr w:type="gramEnd"/>
    </w:p>
    <w:p w14:paraId="2BFFFF2B" w14:textId="66A0CE86" w:rsidR="00643332" w:rsidRDefault="00643332" w:rsidP="007C39EB">
      <w:pPr>
        <w:numPr>
          <w:ilvl w:val="0"/>
          <w:numId w:val="22"/>
        </w:numPr>
        <w:autoSpaceDN w:val="0"/>
        <w:rPr>
          <w:rFonts w:cs="Arial"/>
        </w:rPr>
      </w:pPr>
      <w:r>
        <w:rPr>
          <w:rFonts w:cs="Arial"/>
        </w:rPr>
        <w:t xml:space="preserve">Submit your application online at </w:t>
      </w:r>
      <w:hyperlink r:id="rId24" w:history="1">
        <w:r w:rsidR="001E1E7E" w:rsidRPr="00563737">
          <w:rPr>
            <w:rStyle w:val="Hyperlink"/>
            <w:rFonts w:cs="Arial"/>
          </w:rPr>
          <w:t>www.smartjobs.qld.gov.au</w:t>
        </w:r>
      </w:hyperlink>
      <w:r>
        <w:rPr>
          <w:rFonts w:cs="Arial"/>
        </w:rPr>
        <w:t xml:space="preserve"> by the closing date. </w:t>
      </w:r>
    </w:p>
    <w:p w14:paraId="16ECD4FD" w14:textId="77777777" w:rsidR="00643332" w:rsidRDefault="00643332" w:rsidP="007C39EB">
      <w:pPr>
        <w:numPr>
          <w:ilvl w:val="0"/>
          <w:numId w:val="22"/>
        </w:numPr>
        <w:autoSpaceDN w:val="0"/>
        <w:rPr>
          <w:rFonts w:cs="Arial"/>
        </w:rPr>
      </w:pPr>
      <w:r>
        <w:rPr>
          <w:rFonts w:cs="Arial"/>
        </w:rPr>
        <w:t>Please note that hand delivered applications will not be accepted.</w:t>
      </w:r>
    </w:p>
    <w:p w14:paraId="16B3A283" w14:textId="77777777" w:rsidR="00643332" w:rsidRDefault="00643332" w:rsidP="007C39EB">
      <w:pPr>
        <w:numPr>
          <w:ilvl w:val="0"/>
          <w:numId w:val="22"/>
        </w:numPr>
        <w:autoSpaceDN w:val="0"/>
        <w:rPr>
          <w:rFonts w:cs="Arial"/>
        </w:rPr>
      </w:pPr>
      <w:r>
        <w:rPr>
          <w:rFonts w:cs="Arial"/>
        </w:rPr>
        <w:t>Only those persons eligible to work in Australia may be employed by Metro North Health. Prospective employees are required to provide proof of identity and documentary evidence of their right to work in Australia.</w:t>
      </w:r>
    </w:p>
    <w:p w14:paraId="046E42B3" w14:textId="77777777" w:rsidR="00643332" w:rsidRDefault="00643332" w:rsidP="007C39EB">
      <w:pPr>
        <w:numPr>
          <w:ilvl w:val="0"/>
          <w:numId w:val="22"/>
        </w:numPr>
        <w:autoSpaceDN w:val="0"/>
        <w:rPr>
          <w:rFonts w:cs="Arial"/>
        </w:rPr>
      </w:pPr>
      <w:r>
        <w:rPr>
          <w:rFonts w:cs="Arial"/>
        </w:rPr>
        <w:t>Late applications cannot be submitted online. For a late application to be considered, please arrange approval and submission via the contact officer.</w:t>
      </w:r>
    </w:p>
    <w:p w14:paraId="15018EF8" w14:textId="77777777" w:rsidR="00643332" w:rsidRDefault="00643332" w:rsidP="007C39EB">
      <w:pPr>
        <w:overflowPunct w:val="0"/>
        <w:autoSpaceDE w:val="0"/>
        <w:autoSpaceDN w:val="0"/>
        <w:adjustRightInd w:val="0"/>
        <w:textAlignment w:val="baseline"/>
        <w:rPr>
          <w:rFonts w:cs="Arial"/>
        </w:rPr>
      </w:pPr>
    </w:p>
    <w:p w14:paraId="77D66D92" w14:textId="77777777" w:rsidR="00643332" w:rsidRDefault="00643332" w:rsidP="007C39EB">
      <w:pPr>
        <w:spacing w:line="276" w:lineRule="auto"/>
        <w:rPr>
          <w:rFonts w:cs="Arial"/>
          <w:b/>
          <w:sz w:val="22"/>
        </w:rPr>
      </w:pPr>
    </w:p>
    <w:p w14:paraId="7C8C7610" w14:textId="61058DBF" w:rsidR="002102F9" w:rsidRPr="00ED73FF" w:rsidRDefault="00611408" w:rsidP="007C39EB">
      <w:pPr>
        <w:spacing w:before="80" w:after="80"/>
        <w:rPr>
          <w:rFonts w:eastAsia="Times New Roman" w:cs="Times New Roman"/>
          <w:szCs w:val="24"/>
          <w:lang w:eastAsia="en-AU"/>
        </w:rPr>
        <w:sectPr w:rsidR="002102F9" w:rsidRPr="00ED73FF" w:rsidSect="00643332">
          <w:footerReference w:type="default" r:id="rId25"/>
          <w:headerReference w:type="first" r:id="rId26"/>
          <w:footerReference w:type="first" r:id="rId27"/>
          <w:type w:val="continuous"/>
          <w:pgSz w:w="11906" w:h="16838" w:code="9"/>
          <w:pgMar w:top="1135" w:right="709" w:bottom="851" w:left="709" w:header="567" w:footer="542" w:gutter="0"/>
          <w:cols w:space="567"/>
          <w:titlePg/>
          <w:docGrid w:linePitch="360"/>
        </w:sectPr>
      </w:pPr>
      <w:r>
        <w:br w:type="page"/>
      </w:r>
    </w:p>
    <w:p w14:paraId="5D5BBACE" w14:textId="11571AB5" w:rsidR="00C20088" w:rsidRPr="00AA2ED7" w:rsidRDefault="00735701" w:rsidP="007C39EB">
      <w:pPr>
        <w:spacing w:before="80" w:after="80"/>
        <w:rPr>
          <w:rFonts w:eastAsia="Times New Roman" w:cs="Times New Roman"/>
          <w:szCs w:val="24"/>
          <w:lang w:eastAsia="en-AU"/>
        </w:rPr>
        <w:sectPr w:rsidR="00C20088" w:rsidRPr="00AA2ED7" w:rsidSect="002102F9">
          <w:headerReference w:type="default" r:id="rId28"/>
          <w:headerReference w:type="first" r:id="rId29"/>
          <w:pgSz w:w="16838" w:h="11906" w:orient="landscape" w:code="9"/>
          <w:pgMar w:top="709" w:right="1135" w:bottom="709" w:left="851" w:header="567" w:footer="542" w:gutter="0"/>
          <w:cols w:space="567"/>
          <w:titlePg/>
          <w:docGrid w:linePitch="360"/>
        </w:sectPr>
      </w:pPr>
      <w:r>
        <w:rPr>
          <w:noProof/>
        </w:rPr>
        <w:lastRenderedPageBreak/>
        <mc:AlternateContent>
          <mc:Choice Requires="wps">
            <w:drawing>
              <wp:anchor distT="0" distB="0" distL="114300" distR="114300" simplePos="0" relativeHeight="251662336" behindDoc="0" locked="0" layoutInCell="1" allowOverlap="1" wp14:anchorId="55A846A7" wp14:editId="2B022B2F">
                <wp:simplePos x="0" y="0"/>
                <wp:positionH relativeFrom="column">
                  <wp:posOffset>4155440</wp:posOffset>
                </wp:positionH>
                <wp:positionV relativeFrom="paragraph">
                  <wp:posOffset>1620520</wp:posOffset>
                </wp:positionV>
                <wp:extent cx="2647950" cy="1104900"/>
                <wp:effectExtent l="0" t="0" r="19050" b="19050"/>
                <wp:wrapNone/>
                <wp:docPr id="4" name="Connector: Elbow 4"/>
                <wp:cNvGraphicFramePr/>
                <a:graphic xmlns:a="http://schemas.openxmlformats.org/drawingml/2006/main">
                  <a:graphicData uri="http://schemas.microsoft.com/office/word/2010/wordprocessingShape">
                    <wps:wsp>
                      <wps:cNvCnPr/>
                      <wps:spPr>
                        <a:xfrm flipV="1">
                          <a:off x="0" y="0"/>
                          <a:ext cx="2647950" cy="1104900"/>
                        </a:xfrm>
                        <a:prstGeom prst="bentConnector3">
                          <a:avLst>
                            <a:gd name="adj1" fmla="val 97328"/>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BE43A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27.2pt;margin-top:127.6pt;width:208.5pt;height:8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" adj="21023" strokecolor="#236192 [3204]">
                <v:stroke dashstyle="dash" joinstyle="round"/>
              </v:shape>
            </w:pict>
          </mc:Fallback>
        </mc:AlternateContent>
      </w:r>
      <w:r>
        <w:rPr>
          <w:noProof/>
        </w:rPr>
        <w:drawing>
          <wp:inline distT="0" distB="0" distL="0" distR="0" wp14:anchorId="3E37DAAB" wp14:editId="076BE150">
            <wp:extent cx="8677275" cy="5562600"/>
            <wp:effectExtent l="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93A8533" w14:textId="77777777" w:rsidR="00D826C7" w:rsidRDefault="00D826C7" w:rsidP="007C39EB">
      <w:pPr>
        <w:pStyle w:val="Heading2"/>
        <w:spacing w:before="0"/>
        <w:rPr>
          <w:color w:val="00778B"/>
          <w:sz w:val="20"/>
          <w:szCs w:val="20"/>
        </w:rPr>
      </w:pPr>
      <w:r>
        <w:rPr>
          <w:color w:val="00778B"/>
          <w:sz w:val="20"/>
          <w:szCs w:val="20"/>
        </w:rPr>
        <w:lastRenderedPageBreak/>
        <w:t>Diversity and Inclusion</w:t>
      </w:r>
    </w:p>
    <w:p w14:paraId="2057965B" w14:textId="77777777" w:rsidR="00D826C7" w:rsidRDefault="00D826C7" w:rsidP="007C39EB">
      <w:pPr>
        <w:spacing w:line="276" w:lineRule="auto"/>
        <w:rPr>
          <w:rFonts w:cs="Arial"/>
          <w:bCs/>
        </w:rPr>
      </w:pPr>
      <w:r>
        <w:rPr>
          <w:rFonts w:cs="Arial"/>
          <w:bCs/>
        </w:rPr>
        <w:t xml:space="preserve">We are committed to providing a diverse and inclusive workplace for our people and our community. We encourage people of all genders, races, ages and abilities to apply for roles within Metro North Health and strive to ensure that our workplace is free from all forms of discrimination and harassment. </w:t>
      </w:r>
    </w:p>
    <w:p w14:paraId="5B2FDD99" w14:textId="77777777" w:rsidR="00D826C7" w:rsidRDefault="00D826C7" w:rsidP="007C39EB">
      <w:pPr>
        <w:spacing w:line="276" w:lineRule="auto"/>
        <w:rPr>
          <w:rFonts w:cs="Arial"/>
          <w:bCs/>
        </w:rPr>
      </w:pPr>
    </w:p>
    <w:p w14:paraId="1CCA9E37" w14:textId="07141CE4" w:rsidR="00D826C7" w:rsidRDefault="00D826C7" w:rsidP="007C39EB">
      <w:pPr>
        <w:spacing w:line="276" w:lineRule="auto"/>
        <w:rPr>
          <w:rFonts w:cs="Arial"/>
          <w:bCs/>
        </w:rPr>
      </w:pPr>
      <w:r>
        <w:rPr>
          <w:rFonts w:cs="Arial"/>
          <w:bCs/>
        </w:rPr>
        <w:t>As an Equal Employment Opportunity (EEO) employer we ensure that our selection processes and employment decisions are undertaken in a non-discriminatory way and are consistent with the requirements of the Anti-Discrimination Act 1991. If there are any reasons that you may have challenges with the recruitment process, please let us know when we contact you.</w:t>
      </w:r>
    </w:p>
    <w:p w14:paraId="242452D0" w14:textId="77777777" w:rsidR="00D826C7" w:rsidRDefault="00D826C7" w:rsidP="007C39EB">
      <w:pPr>
        <w:pStyle w:val="Heading2"/>
        <w:rPr>
          <w:color w:val="00778B"/>
          <w:sz w:val="20"/>
          <w:szCs w:val="20"/>
        </w:rPr>
      </w:pPr>
      <w:r>
        <w:rPr>
          <w:color w:val="00778B"/>
          <w:sz w:val="20"/>
          <w:szCs w:val="20"/>
        </w:rPr>
        <w:t>Work Health and Safety</w:t>
      </w:r>
    </w:p>
    <w:p w14:paraId="5F2BF384" w14:textId="77777777" w:rsidR="00D826C7" w:rsidRDefault="00D826C7" w:rsidP="007C39EB">
      <w:pPr>
        <w:autoSpaceDE w:val="0"/>
        <w:autoSpaceDN w:val="0"/>
        <w:spacing w:line="276" w:lineRule="auto"/>
        <w:rPr>
          <w:rStyle w:val="bumpedfont20"/>
          <w:rFonts w:cs="Arial"/>
        </w:rPr>
      </w:pPr>
      <w:r>
        <w:rPr>
          <w:rStyle w:val="bumpedfont20"/>
          <w:rFonts w:cs="Arial"/>
        </w:rPr>
        <w:t xml:space="preserve">We are committed to </w:t>
      </w:r>
      <w:r>
        <w:rPr>
          <w:rStyle w:val="bumpedfont20"/>
          <w:rFonts w:cs="Arial"/>
          <w:i/>
        </w:rPr>
        <w:t>Putting</w:t>
      </w:r>
      <w:r>
        <w:rPr>
          <w:rStyle w:val="bumpedfont20"/>
          <w:rFonts w:cs="Arial"/>
          <w:i/>
          <w:iCs/>
        </w:rPr>
        <w:t xml:space="preserve"> People First </w:t>
      </w:r>
      <w:r>
        <w:rPr>
          <w:rStyle w:val="bumpedfont20"/>
          <w:rFonts w:cs="Arial"/>
        </w:rPr>
        <w:t xml:space="preserve">to provide better healthcare. This commitment includes a dedicated </w:t>
      </w:r>
      <w:r>
        <w:rPr>
          <w:rStyle w:val="bumpedfont20"/>
          <w:rFonts w:cs="Arial"/>
          <w:i/>
          <w:iCs/>
        </w:rPr>
        <w:t>People Focussed Safety</w:t>
      </w:r>
      <w:r>
        <w:rPr>
          <w:rStyle w:val="bumpedfont20"/>
          <w:rFonts w:cs="Arial"/>
        </w:rPr>
        <w:t xml:space="preserve"> culture. </w:t>
      </w:r>
    </w:p>
    <w:p w14:paraId="3429EC51" w14:textId="77777777" w:rsidR="00D826C7" w:rsidRDefault="00D826C7" w:rsidP="007C39EB">
      <w:pPr>
        <w:autoSpaceDE w:val="0"/>
        <w:autoSpaceDN w:val="0"/>
        <w:spacing w:line="276" w:lineRule="auto"/>
        <w:rPr>
          <w:rStyle w:val="bumpedfont20"/>
          <w:rFonts w:cs="Arial"/>
        </w:rPr>
      </w:pPr>
    </w:p>
    <w:p w14:paraId="475B9F57" w14:textId="77777777" w:rsidR="00D826C7" w:rsidRDefault="00D826C7" w:rsidP="007C39EB">
      <w:pPr>
        <w:autoSpaceDE w:val="0"/>
        <w:autoSpaceDN w:val="0"/>
        <w:spacing w:line="276" w:lineRule="auto"/>
        <w:rPr>
          <w:rFonts w:cs="Arial"/>
        </w:rPr>
      </w:pPr>
      <w:r>
        <w:rPr>
          <w:rStyle w:val="bumpedfont20"/>
          <w:rFonts w:cs="Arial"/>
        </w:rPr>
        <w:t xml:space="preserve">This culture commits to the health, safety and wellbeing of staff, volunteers and other persons, </w:t>
      </w:r>
      <w:r>
        <w:rPr>
          <w:rFonts w:cs="Arial"/>
        </w:rPr>
        <w:t>through the provision of a dynamic and comprehensive Health and Safety Management System (HSMS). The HSMS provides for proactive safety initiatives, early injury management practices with a strong focus on a safe and durable return to work.</w:t>
      </w:r>
      <w:r>
        <w:rPr>
          <w:rStyle w:val="bumpedfont20"/>
          <w:rFonts w:cs="Arial"/>
        </w:rPr>
        <w:t xml:space="preserve"> </w:t>
      </w:r>
    </w:p>
    <w:p w14:paraId="20FCA420" w14:textId="77777777" w:rsidR="00D826C7" w:rsidRDefault="00D826C7" w:rsidP="007C39EB">
      <w:pPr>
        <w:pStyle w:val="s33"/>
        <w:spacing w:before="0" w:beforeAutospacing="0" w:after="0" w:afterAutospacing="0" w:line="276" w:lineRule="auto"/>
        <w:ind w:right="150"/>
        <w:rPr>
          <w:rFonts w:ascii="Arial" w:hAnsi="Arial" w:cs="Arial"/>
          <w:sz w:val="20"/>
          <w:szCs w:val="20"/>
        </w:rPr>
      </w:pPr>
      <w:r>
        <w:rPr>
          <w:rFonts w:ascii="Arial" w:hAnsi="Arial" w:cs="Arial"/>
          <w:sz w:val="20"/>
          <w:szCs w:val="20"/>
        </w:rPr>
        <w:t> </w:t>
      </w:r>
    </w:p>
    <w:p w14:paraId="519C93C5" w14:textId="29A4FA45" w:rsidR="00D826C7" w:rsidRPr="00AA2ED7" w:rsidRDefault="00D826C7" w:rsidP="007C39EB">
      <w:pPr>
        <w:pStyle w:val="s64"/>
        <w:spacing w:before="0" w:beforeAutospacing="0" w:after="0" w:afterAutospacing="0" w:line="276" w:lineRule="auto"/>
        <w:ind w:right="195"/>
        <w:rPr>
          <w:rFonts w:ascii="Arial" w:hAnsi="Arial" w:cs="Arial"/>
          <w:sz w:val="20"/>
          <w:szCs w:val="20"/>
        </w:rPr>
      </w:pPr>
      <w:r>
        <w:rPr>
          <w:rStyle w:val="bumpedfont20"/>
          <w:rFonts w:ascii="Arial" w:hAnsi="Arial" w:cs="Arial"/>
          <w:sz w:val="20"/>
          <w:szCs w:val="20"/>
        </w:rPr>
        <w:t>The provision of a Health and Safety environment within Metro North Health is everyone’s responsibility.</w:t>
      </w:r>
    </w:p>
    <w:p w14:paraId="7EDDD58A" w14:textId="77777777" w:rsidR="00D826C7" w:rsidRDefault="00D826C7" w:rsidP="007C39EB">
      <w:pPr>
        <w:pStyle w:val="Heading2"/>
        <w:rPr>
          <w:color w:val="00778B"/>
          <w:sz w:val="20"/>
          <w:szCs w:val="20"/>
        </w:rPr>
      </w:pPr>
      <w:r>
        <w:rPr>
          <w:color w:val="00778B"/>
          <w:sz w:val="20"/>
          <w:szCs w:val="20"/>
        </w:rPr>
        <w:t>Safety and Quality</w:t>
      </w:r>
    </w:p>
    <w:p w14:paraId="4097AA72" w14:textId="77777777" w:rsidR="00D826C7" w:rsidRDefault="00D826C7" w:rsidP="007C39EB">
      <w:pPr>
        <w:spacing w:line="276" w:lineRule="auto"/>
        <w:rPr>
          <w:rFonts w:cs="Arial"/>
          <w:color w:val="000000"/>
        </w:rPr>
      </w:pPr>
      <w:r>
        <w:rPr>
          <w:rFonts w:cs="Arial"/>
          <w:color w:val="000000"/>
        </w:rPr>
        <w:t>Relevant to the position, staff participate in the ongoing education, implementation, monitoring and evaluation of safety and quality initiatives relevant to The National Safety and Quality Health Services Standards 2</w:t>
      </w:r>
      <w:r>
        <w:rPr>
          <w:rFonts w:cs="Arial"/>
          <w:color w:val="000000"/>
          <w:vertAlign w:val="superscript"/>
        </w:rPr>
        <w:t>nd</w:t>
      </w:r>
      <w:r>
        <w:rPr>
          <w:rFonts w:cs="Arial"/>
          <w:color w:val="000000"/>
        </w:rPr>
        <w:t xml:space="preserve"> Edition and the Australian Council on Healthcare Standards (ACHS).</w:t>
      </w:r>
    </w:p>
    <w:p w14:paraId="6A211224" w14:textId="3921FFAF" w:rsidR="00D826C7" w:rsidRDefault="00D826C7" w:rsidP="007C39EB">
      <w:pPr>
        <w:overflowPunct w:val="0"/>
        <w:autoSpaceDE w:val="0"/>
        <w:autoSpaceDN w:val="0"/>
        <w:adjustRightInd w:val="0"/>
        <w:spacing w:before="280" w:after="180" w:line="276" w:lineRule="auto"/>
        <w:textAlignment w:val="baseline"/>
        <w:rPr>
          <w:rStyle w:val="Hyperlink"/>
          <w:rFonts w:cs="Arial"/>
        </w:rPr>
      </w:pPr>
      <w:bookmarkStart w:id="3" w:name="_Hlk83898556"/>
      <w:r>
        <w:rPr>
          <w:rFonts w:cs="Arial"/>
          <w:b/>
          <w:bCs/>
          <w:iCs/>
          <w:color w:val="00778B"/>
        </w:rPr>
        <w:t xml:space="preserve">Vaccine Preventable Diseases (VPD) Requirements </w:t>
      </w:r>
      <w:r w:rsidRPr="00622CF3">
        <w:rPr>
          <w:rFonts w:cs="Arial"/>
        </w:rPr>
        <w:t>(</w:t>
      </w:r>
      <w:hyperlink r:id="rId35" w:history="1">
        <w:r w:rsidRPr="00622CF3">
          <w:rPr>
            <w:rStyle w:val="Hyperlink"/>
            <w:rFonts w:cs="Arial"/>
          </w:rPr>
          <w:t>Health Employment Directive No. 01/16</w:t>
        </w:r>
      </w:hyperlink>
      <w:r>
        <w:rPr>
          <w:rStyle w:val="Hyperlink"/>
          <w:rFonts w:cs="Arial"/>
        </w:rPr>
        <w:t>)</w:t>
      </w:r>
    </w:p>
    <w:p w14:paraId="5317879A" w14:textId="7AF253BA" w:rsidR="00D826C7" w:rsidRDefault="00D826C7" w:rsidP="007C39EB">
      <w:pPr>
        <w:overflowPunct w:val="0"/>
        <w:autoSpaceDE w:val="0"/>
        <w:autoSpaceDN w:val="0"/>
        <w:adjustRightInd w:val="0"/>
        <w:spacing w:line="276" w:lineRule="auto"/>
        <w:textAlignment w:val="baseline"/>
        <w:rPr>
          <w:rFonts w:cs="Arial"/>
          <w:lang w:eastAsia="en-AU"/>
        </w:rPr>
      </w:pPr>
      <w:r>
        <w:rPr>
          <w:rFonts w:cs="Arial"/>
          <w:lang w:eastAsia="en-AU"/>
        </w:rPr>
        <w:t xml:space="preserve">It is a condition of employment for this role for the employee to be, and remain, vaccinated against the following vaccine preventable diseases during their employment: </w:t>
      </w:r>
    </w:p>
    <w:p w14:paraId="3D83116A" w14:textId="77777777" w:rsidR="00AA2ED7" w:rsidRDefault="00AA2ED7" w:rsidP="007C39EB">
      <w:pPr>
        <w:overflowPunct w:val="0"/>
        <w:autoSpaceDE w:val="0"/>
        <w:autoSpaceDN w:val="0"/>
        <w:adjustRightInd w:val="0"/>
        <w:spacing w:line="276" w:lineRule="auto"/>
        <w:textAlignment w:val="baseline"/>
        <w:rPr>
          <w:rFonts w:cs="Arial"/>
          <w:lang w:eastAsia="en-AU"/>
        </w:rPr>
      </w:pPr>
    </w:p>
    <w:p w14:paraId="22619EFE" w14:textId="77777777" w:rsidR="00D826C7" w:rsidRDefault="00D826C7" w:rsidP="007C39EB">
      <w:pPr>
        <w:numPr>
          <w:ilvl w:val="0"/>
          <w:numId w:val="27"/>
        </w:numPr>
        <w:spacing w:line="276" w:lineRule="auto"/>
        <w:rPr>
          <w:rFonts w:cs="Arial"/>
        </w:rPr>
      </w:pPr>
      <w:r>
        <w:rPr>
          <w:rFonts w:cs="Arial"/>
        </w:rPr>
        <w:t>Measles</w:t>
      </w:r>
    </w:p>
    <w:p w14:paraId="161D4D7E" w14:textId="77777777" w:rsidR="00D826C7" w:rsidRDefault="00D826C7" w:rsidP="007C39EB">
      <w:pPr>
        <w:numPr>
          <w:ilvl w:val="0"/>
          <w:numId w:val="27"/>
        </w:numPr>
        <w:spacing w:line="276" w:lineRule="auto"/>
        <w:rPr>
          <w:rFonts w:cs="Arial"/>
        </w:rPr>
      </w:pPr>
      <w:r>
        <w:rPr>
          <w:rFonts w:cs="Arial"/>
        </w:rPr>
        <w:t>Mumps</w:t>
      </w:r>
    </w:p>
    <w:p w14:paraId="7D329EBB" w14:textId="77777777" w:rsidR="00D826C7" w:rsidRDefault="00D826C7" w:rsidP="007C39EB">
      <w:pPr>
        <w:numPr>
          <w:ilvl w:val="0"/>
          <w:numId w:val="27"/>
        </w:numPr>
        <w:spacing w:line="276" w:lineRule="auto"/>
        <w:rPr>
          <w:rFonts w:cs="Arial"/>
        </w:rPr>
      </w:pPr>
      <w:r>
        <w:rPr>
          <w:rFonts w:cs="Arial"/>
        </w:rPr>
        <w:t>Rubella</w:t>
      </w:r>
    </w:p>
    <w:p w14:paraId="1A006279" w14:textId="77777777" w:rsidR="00D826C7" w:rsidRDefault="00D826C7" w:rsidP="007C39EB">
      <w:pPr>
        <w:numPr>
          <w:ilvl w:val="0"/>
          <w:numId w:val="27"/>
        </w:numPr>
        <w:spacing w:line="276" w:lineRule="auto"/>
        <w:rPr>
          <w:rFonts w:cs="Arial"/>
        </w:rPr>
      </w:pPr>
      <w:r>
        <w:rPr>
          <w:rFonts w:cs="Arial"/>
        </w:rPr>
        <w:t>Varicella (chicken pox)</w:t>
      </w:r>
    </w:p>
    <w:p w14:paraId="1BCE7D39" w14:textId="77777777" w:rsidR="00D826C7" w:rsidRDefault="00D826C7" w:rsidP="007C39EB">
      <w:pPr>
        <w:numPr>
          <w:ilvl w:val="0"/>
          <w:numId w:val="27"/>
        </w:numPr>
        <w:spacing w:line="276" w:lineRule="auto"/>
        <w:rPr>
          <w:rFonts w:cs="Arial"/>
        </w:rPr>
      </w:pPr>
      <w:r>
        <w:rPr>
          <w:rFonts w:cs="Arial"/>
        </w:rPr>
        <w:t>Pertussis (whooping cough)</w:t>
      </w:r>
    </w:p>
    <w:p w14:paraId="5BA6AF33" w14:textId="77777777" w:rsidR="00D826C7" w:rsidRDefault="00D826C7" w:rsidP="007C39EB">
      <w:pPr>
        <w:numPr>
          <w:ilvl w:val="0"/>
          <w:numId w:val="27"/>
        </w:numPr>
        <w:spacing w:line="276" w:lineRule="auto"/>
        <w:rPr>
          <w:rFonts w:cs="Arial"/>
        </w:rPr>
      </w:pPr>
      <w:r>
        <w:rPr>
          <w:rFonts w:cs="Arial"/>
        </w:rPr>
        <w:t>Hepatitis B</w:t>
      </w:r>
    </w:p>
    <w:p w14:paraId="249C19E9" w14:textId="77777777" w:rsidR="00D826C7" w:rsidRDefault="00D826C7" w:rsidP="007C39EB">
      <w:pPr>
        <w:overflowPunct w:val="0"/>
        <w:autoSpaceDE w:val="0"/>
        <w:autoSpaceDN w:val="0"/>
        <w:adjustRightInd w:val="0"/>
        <w:spacing w:line="276" w:lineRule="auto"/>
        <w:textAlignment w:val="baseline"/>
        <w:rPr>
          <w:rFonts w:cs="Arial"/>
        </w:rPr>
      </w:pPr>
    </w:p>
    <w:p w14:paraId="139AC615" w14:textId="67BF727C" w:rsidR="00D826C7" w:rsidRDefault="00D826C7" w:rsidP="007C39EB">
      <w:pPr>
        <w:overflowPunct w:val="0"/>
        <w:autoSpaceDE w:val="0"/>
        <w:autoSpaceDN w:val="0"/>
        <w:adjustRightInd w:val="0"/>
        <w:spacing w:line="276" w:lineRule="auto"/>
        <w:textAlignment w:val="baseline"/>
        <w:rPr>
          <w:rFonts w:cs="Arial"/>
        </w:rPr>
      </w:pPr>
      <w:r>
        <w:rPr>
          <w:rFonts w:cs="Arial"/>
        </w:rPr>
        <w:t xml:space="preserve">Further vaccinations may be required due to </w:t>
      </w:r>
      <w:proofErr w:type="gramStart"/>
      <w:r>
        <w:rPr>
          <w:rFonts w:cs="Arial"/>
        </w:rPr>
        <w:t>particular risks</w:t>
      </w:r>
      <w:proofErr w:type="gramEnd"/>
      <w:r>
        <w:rPr>
          <w:rFonts w:cs="Arial"/>
        </w:rPr>
        <w:t xml:space="preserve"> for a role; examples include:</w:t>
      </w:r>
    </w:p>
    <w:p w14:paraId="3697DB49" w14:textId="77777777" w:rsidR="00AA2ED7" w:rsidRDefault="00AA2ED7" w:rsidP="007C39EB">
      <w:pPr>
        <w:overflowPunct w:val="0"/>
        <w:autoSpaceDE w:val="0"/>
        <w:autoSpaceDN w:val="0"/>
        <w:adjustRightInd w:val="0"/>
        <w:spacing w:line="276" w:lineRule="auto"/>
        <w:textAlignment w:val="baseline"/>
        <w:rPr>
          <w:rFonts w:cs="Arial"/>
        </w:rPr>
      </w:pPr>
    </w:p>
    <w:p w14:paraId="2B40B98E" w14:textId="77777777" w:rsidR="00D826C7" w:rsidRDefault="00D826C7" w:rsidP="007C39EB">
      <w:pPr>
        <w:numPr>
          <w:ilvl w:val="0"/>
          <w:numId w:val="27"/>
        </w:numPr>
        <w:spacing w:line="276" w:lineRule="auto"/>
        <w:rPr>
          <w:rFonts w:cs="Arial"/>
        </w:rPr>
      </w:pPr>
      <w:r>
        <w:rPr>
          <w:rFonts w:cs="Arial"/>
        </w:rPr>
        <w:t>Hepatitis A – Workers in regular contact with untreated sewerage</w:t>
      </w:r>
    </w:p>
    <w:p w14:paraId="6D1B3681" w14:textId="77777777" w:rsidR="00D826C7" w:rsidRDefault="00D826C7" w:rsidP="007C39EB">
      <w:pPr>
        <w:numPr>
          <w:ilvl w:val="0"/>
          <w:numId w:val="27"/>
        </w:numPr>
        <w:spacing w:line="276" w:lineRule="auto"/>
        <w:rPr>
          <w:rFonts w:cs="Arial"/>
        </w:rPr>
      </w:pPr>
      <w:r>
        <w:rPr>
          <w:rFonts w:cs="Arial"/>
        </w:rPr>
        <w:t>Q Fever – Research or Laboratory staff regularly handling specimens</w:t>
      </w:r>
    </w:p>
    <w:p w14:paraId="4806DC5D" w14:textId="77777777" w:rsidR="00D826C7" w:rsidRDefault="00D826C7" w:rsidP="007C39EB">
      <w:pPr>
        <w:overflowPunct w:val="0"/>
        <w:autoSpaceDE w:val="0"/>
        <w:autoSpaceDN w:val="0"/>
        <w:adjustRightInd w:val="0"/>
        <w:spacing w:line="276" w:lineRule="auto"/>
        <w:ind w:left="360"/>
        <w:textAlignment w:val="baseline"/>
        <w:rPr>
          <w:rFonts w:cs="Arial"/>
        </w:rPr>
      </w:pPr>
    </w:p>
    <w:p w14:paraId="4A40AC08" w14:textId="77777777" w:rsidR="00D826C7" w:rsidRDefault="00D826C7" w:rsidP="007C39EB">
      <w:pPr>
        <w:overflowPunct w:val="0"/>
        <w:autoSpaceDE w:val="0"/>
        <w:autoSpaceDN w:val="0"/>
        <w:adjustRightInd w:val="0"/>
        <w:spacing w:line="276" w:lineRule="auto"/>
        <w:textAlignment w:val="baseline"/>
        <w:rPr>
          <w:rFonts w:cs="Arial"/>
        </w:rPr>
      </w:pPr>
      <w:r>
        <w:rPr>
          <w:rFonts w:cs="Arial"/>
        </w:rPr>
        <w:t>All new employees who will be working in clinical areas must be assessed for their risk of tuberculosis and screening undertaken if required.</w:t>
      </w:r>
    </w:p>
    <w:p w14:paraId="2E149D5A" w14:textId="77777777" w:rsidR="00D826C7" w:rsidRDefault="00D826C7" w:rsidP="007C39EB">
      <w:pPr>
        <w:overflowPunct w:val="0"/>
        <w:autoSpaceDE w:val="0"/>
        <w:autoSpaceDN w:val="0"/>
        <w:adjustRightInd w:val="0"/>
        <w:spacing w:line="276" w:lineRule="auto"/>
        <w:textAlignment w:val="baseline"/>
        <w:rPr>
          <w:rFonts w:cs="Arial"/>
        </w:rPr>
      </w:pPr>
    </w:p>
    <w:p w14:paraId="67E5557E" w14:textId="77777777" w:rsidR="00D826C7" w:rsidRDefault="00D826C7" w:rsidP="007C39EB">
      <w:pPr>
        <w:spacing w:line="276" w:lineRule="auto"/>
        <w:rPr>
          <w:rFonts w:cs="Arial"/>
          <w:iCs/>
          <w:lang w:eastAsia="en-AU"/>
        </w:rPr>
      </w:pPr>
      <w:r>
        <w:rPr>
          <w:rFonts w:cs="Arial"/>
          <w:iCs/>
          <w:lang w:eastAsia="en-AU"/>
        </w:rPr>
        <w:t xml:space="preserve">Existing staff that are engaged prior to 1 July 2016 are </w:t>
      </w:r>
      <w:r>
        <w:rPr>
          <w:rFonts w:cs="Arial"/>
          <w:b/>
          <w:bCs/>
          <w:iCs/>
          <w:lang w:eastAsia="en-AU"/>
        </w:rPr>
        <w:t>not subject</w:t>
      </w:r>
      <w:r>
        <w:rPr>
          <w:rFonts w:cs="Arial"/>
          <w:iCs/>
          <w:lang w:eastAsia="en-AU"/>
        </w:rPr>
        <w:t xml:space="preserve"> to this condition of employment unless they apply for a role with VPD requirements that is with a different Queensland Health entity (</w:t>
      </w:r>
      <w:proofErr w:type="gramStart"/>
      <w:r>
        <w:rPr>
          <w:rFonts w:cs="Arial"/>
          <w:iCs/>
          <w:lang w:eastAsia="en-AU"/>
        </w:rPr>
        <w:t>i.e.</w:t>
      </w:r>
      <w:proofErr w:type="gramEnd"/>
      <w:r>
        <w:rPr>
          <w:rFonts w:cs="Arial"/>
          <w:iCs/>
          <w:lang w:eastAsia="en-AU"/>
        </w:rPr>
        <w:t xml:space="preserve"> one Health Service to another Health Service, Department of Health (</w:t>
      </w:r>
      <w:proofErr w:type="spellStart"/>
      <w:r>
        <w:rPr>
          <w:rFonts w:cs="Arial"/>
          <w:iCs/>
          <w:lang w:eastAsia="en-AU"/>
        </w:rPr>
        <w:t>DoH</w:t>
      </w:r>
      <w:proofErr w:type="spellEnd"/>
      <w:r>
        <w:rPr>
          <w:rFonts w:cs="Arial"/>
          <w:iCs/>
          <w:lang w:eastAsia="en-AU"/>
        </w:rPr>
        <w:t xml:space="preserve">) to a Health Service, or Health Service to </w:t>
      </w:r>
      <w:proofErr w:type="spellStart"/>
      <w:r>
        <w:rPr>
          <w:rFonts w:cs="Arial"/>
          <w:iCs/>
          <w:lang w:eastAsia="en-AU"/>
        </w:rPr>
        <w:t>DoH</w:t>
      </w:r>
      <w:proofErr w:type="spellEnd"/>
      <w:r>
        <w:rPr>
          <w:rFonts w:cs="Arial"/>
          <w:iCs/>
          <w:lang w:eastAsia="en-AU"/>
        </w:rPr>
        <w:t>).</w:t>
      </w:r>
    </w:p>
    <w:bookmarkEnd w:id="3"/>
    <w:p w14:paraId="0044261C" w14:textId="683FD94F" w:rsidR="00D826C7" w:rsidRDefault="00D826C7" w:rsidP="007C39EB">
      <w:pPr>
        <w:spacing w:line="276" w:lineRule="auto"/>
        <w:rPr>
          <w:rFonts w:cs="Arial"/>
        </w:rPr>
      </w:pPr>
    </w:p>
    <w:p w14:paraId="7480A8AD" w14:textId="77777777" w:rsidR="00AA2ED7" w:rsidRDefault="00AA2ED7" w:rsidP="007C39EB">
      <w:pPr>
        <w:spacing w:line="276" w:lineRule="auto"/>
        <w:rPr>
          <w:rFonts w:cs="Arial"/>
        </w:rPr>
      </w:pPr>
    </w:p>
    <w:p w14:paraId="7A14AC73" w14:textId="77777777" w:rsidR="00070809" w:rsidRDefault="00070809" w:rsidP="007C39EB">
      <w:pPr>
        <w:spacing w:before="80" w:after="80"/>
        <w:rPr>
          <w:rFonts w:cs="Arial"/>
          <w:b/>
          <w:bCs/>
          <w:iCs/>
          <w:color w:val="00778B"/>
        </w:rPr>
      </w:pPr>
      <w:r>
        <w:rPr>
          <w:rFonts w:cs="Arial"/>
          <w:b/>
          <w:bCs/>
          <w:iCs/>
          <w:color w:val="00778B"/>
        </w:rPr>
        <w:br w:type="page"/>
      </w:r>
    </w:p>
    <w:p w14:paraId="517ABD1E" w14:textId="700E926F" w:rsidR="00D826C7" w:rsidRDefault="00D826C7" w:rsidP="007C39EB">
      <w:pPr>
        <w:overflowPunct w:val="0"/>
        <w:autoSpaceDE w:val="0"/>
        <w:autoSpaceDN w:val="0"/>
        <w:adjustRightInd w:val="0"/>
        <w:spacing w:before="280" w:after="180" w:line="276" w:lineRule="auto"/>
        <w:textAlignment w:val="baseline"/>
        <w:rPr>
          <w:rFonts w:cs="Arial"/>
          <w:b/>
          <w:bCs/>
          <w:iCs/>
          <w:color w:val="00778B"/>
        </w:rPr>
      </w:pPr>
      <w:r>
        <w:rPr>
          <w:rFonts w:cs="Arial"/>
          <w:b/>
          <w:bCs/>
          <w:iCs/>
          <w:color w:val="00778B"/>
        </w:rPr>
        <w:lastRenderedPageBreak/>
        <w:t>Additional Information</w:t>
      </w:r>
    </w:p>
    <w:p w14:paraId="1C484E87" w14:textId="77777777" w:rsidR="00D826C7" w:rsidRDefault="00D826C7" w:rsidP="007C39EB">
      <w:pPr>
        <w:numPr>
          <w:ilvl w:val="0"/>
          <w:numId w:val="26"/>
        </w:numPr>
        <w:spacing w:line="276" w:lineRule="auto"/>
        <w:rPr>
          <w:rFonts w:cs="Arial"/>
        </w:rPr>
      </w:pPr>
      <w:r>
        <w:rPr>
          <w:rFonts w:cs="Arial"/>
        </w:rPr>
        <w:t>Applications will remain current for 12 months or for the duration of the vacancy.</w:t>
      </w:r>
    </w:p>
    <w:p w14:paraId="1CF9426C" w14:textId="77777777" w:rsidR="00D826C7" w:rsidRDefault="00D826C7" w:rsidP="007C39EB">
      <w:pPr>
        <w:numPr>
          <w:ilvl w:val="0"/>
          <w:numId w:val="26"/>
        </w:numPr>
        <w:spacing w:line="276" w:lineRule="auto"/>
        <w:rPr>
          <w:rFonts w:cs="Arial"/>
        </w:rPr>
      </w:pPr>
      <w:r>
        <w:rPr>
          <w:rFonts w:cs="Arial"/>
        </w:rPr>
        <w:t>Future vacancies of a temporary, full time and part time nature may also be filled through this recruitment process.</w:t>
      </w:r>
    </w:p>
    <w:p w14:paraId="2175F79D" w14:textId="77777777" w:rsidR="00D826C7" w:rsidRDefault="00D826C7" w:rsidP="007C39EB">
      <w:pPr>
        <w:numPr>
          <w:ilvl w:val="0"/>
          <w:numId w:val="26"/>
        </w:numPr>
        <w:spacing w:line="276" w:lineRule="auto"/>
        <w:rPr>
          <w:rFonts w:cs="Arial"/>
        </w:rPr>
      </w:pPr>
      <w:r>
        <w:rPr>
          <w:rFonts w:eastAsia="MS Mincho" w:cs="Arial"/>
          <w:bCs/>
          <w:lang w:eastAsia="ja-JP"/>
        </w:rPr>
        <w:t>Health Care Workers in Queensland Health whose occupation poses a potential risk of exposure to blood or body fluids must be immunised against Hepatitis B according to the National Health and Medical Research Council Australian Immunisation Handbook and the Queensland Health Infection Control Guidelines.</w:t>
      </w:r>
    </w:p>
    <w:p w14:paraId="45A8F55C" w14:textId="77777777" w:rsidR="00D826C7" w:rsidRDefault="00D826C7" w:rsidP="007C39EB">
      <w:pPr>
        <w:numPr>
          <w:ilvl w:val="0"/>
          <w:numId w:val="26"/>
        </w:numPr>
        <w:spacing w:line="276" w:lineRule="auto"/>
        <w:rPr>
          <w:rFonts w:cs="Arial"/>
        </w:rPr>
      </w:pPr>
      <w:r>
        <w:rPr>
          <w:rFonts w:cs="Arial"/>
          <w:color w:val="000000"/>
        </w:rPr>
        <w:t xml:space="preserve">Pre-employment screening, including criminal history and discipline history checks, may be undertaken on persons recommended for employment. Roles providing health, counselling and support services mainly to children will require a Blue Card, unless otherwise exempt. Roles providing services to National Disability Insurance Scheme (NDIS) participants require </w:t>
      </w:r>
      <w:proofErr w:type="gramStart"/>
      <w:r>
        <w:rPr>
          <w:rFonts w:cs="Arial"/>
          <w:color w:val="000000"/>
        </w:rPr>
        <w:t>an</w:t>
      </w:r>
      <w:proofErr w:type="gramEnd"/>
      <w:r>
        <w:rPr>
          <w:rFonts w:cs="Arial"/>
          <w:color w:val="000000"/>
        </w:rPr>
        <w:t xml:space="preserve"> NDIS worker screening check. </w:t>
      </w:r>
    </w:p>
    <w:p w14:paraId="7DD9B484" w14:textId="77777777" w:rsidR="00D826C7" w:rsidRDefault="00D826C7" w:rsidP="007C39EB">
      <w:pPr>
        <w:numPr>
          <w:ilvl w:val="0"/>
          <w:numId w:val="26"/>
        </w:numPr>
        <w:spacing w:line="276" w:lineRule="auto"/>
        <w:rPr>
          <w:rFonts w:cs="Arial"/>
        </w:rPr>
      </w:pPr>
      <w:r>
        <w:rPr>
          <w:rFonts w:cs="Arial"/>
        </w:rPr>
        <w:t>Applicants may be required to disclose any pre-existing illness or injury which may impact on their ability to perform the role.</w:t>
      </w:r>
    </w:p>
    <w:p w14:paraId="7A21CA9B" w14:textId="09FC1309" w:rsidR="00806663" w:rsidRDefault="00D826C7" w:rsidP="00806663">
      <w:pPr>
        <w:numPr>
          <w:ilvl w:val="0"/>
          <w:numId w:val="26"/>
        </w:numPr>
        <w:suppressAutoHyphens/>
        <w:spacing w:line="276" w:lineRule="auto"/>
        <w:rPr>
          <w:rFonts w:cs="Arial"/>
          <w:color w:val="000000"/>
        </w:rPr>
      </w:pPr>
      <w:r>
        <w:rPr>
          <w:rFonts w:cs="Arial"/>
          <w:color w:val="000000"/>
        </w:rPr>
        <w:t>Applicants will be required to give a statement of their employment as a lobbyist within one (1) month of taking up the appointment.  Details are available at:</w:t>
      </w:r>
    </w:p>
    <w:p w14:paraId="245540D1" w14:textId="5413F8C9" w:rsidR="00806663" w:rsidRPr="00806663" w:rsidRDefault="004D6DC2" w:rsidP="00806663">
      <w:pPr>
        <w:spacing w:line="276" w:lineRule="auto"/>
        <w:ind w:left="360"/>
        <w:rPr>
          <w:rStyle w:val="Hyperlink"/>
          <w:color w:val="24899D" w:themeColor="accent5" w:themeShade="80"/>
        </w:rPr>
      </w:pPr>
      <w:hyperlink r:id="rId36" w:history="1">
        <w:r w:rsidR="00806663" w:rsidRPr="00806663">
          <w:rPr>
            <w:rStyle w:val="Hyperlink"/>
            <w:color w:val="24899D" w:themeColor="accent5" w:themeShade="80"/>
          </w:rPr>
          <w:t>https://www.forgov.qld.gov.au/__data/assets/pdf_file/0033/185919/lobbyist-disclosure-policy_0.pdf</w:t>
        </w:r>
      </w:hyperlink>
      <w:r w:rsidR="00806663" w:rsidRPr="00806663">
        <w:rPr>
          <w:rStyle w:val="Hyperlink"/>
          <w:color w:val="24899D" w:themeColor="accent5" w:themeShade="80"/>
        </w:rPr>
        <w:t xml:space="preserve"> </w:t>
      </w:r>
    </w:p>
    <w:p w14:paraId="26ADA4C8" w14:textId="3D669B01" w:rsidR="00D826C7" w:rsidRDefault="00D826C7" w:rsidP="007C39EB">
      <w:pPr>
        <w:numPr>
          <w:ilvl w:val="0"/>
          <w:numId w:val="26"/>
        </w:numPr>
        <w:spacing w:line="276" w:lineRule="auto"/>
        <w:rPr>
          <w:rStyle w:val="Hyperlink"/>
          <w:color w:val="00778B"/>
        </w:rPr>
      </w:pPr>
      <w:r>
        <w:rPr>
          <w:rFonts w:cs="Arial"/>
        </w:rPr>
        <w:t xml:space="preserve">Employees who are appointed to Queensland Health may be required to undertake a period of probation appropriate to the appointment.  For further information, refer to Probation HR Policy B2 </w:t>
      </w:r>
      <w:hyperlink r:id="rId37" w:history="1">
        <w:r>
          <w:rPr>
            <w:rStyle w:val="Hyperlink"/>
            <w:rFonts w:cs="Arial"/>
            <w:color w:val="00778B"/>
          </w:rPr>
          <w:t>https://www.health.qld.gov.au/system-governance/policies-standards/doh-policy/policy/qh-pol-197.pdf</w:t>
        </w:r>
      </w:hyperlink>
    </w:p>
    <w:p w14:paraId="6B79B95F" w14:textId="308373AC" w:rsidR="00AA2ED7" w:rsidRPr="00AA2ED7" w:rsidRDefault="00D826C7" w:rsidP="007C39EB">
      <w:pPr>
        <w:numPr>
          <w:ilvl w:val="0"/>
          <w:numId w:val="26"/>
        </w:numPr>
        <w:spacing w:line="276" w:lineRule="auto"/>
        <w:rPr>
          <w:rFonts w:cs="Arial"/>
        </w:rPr>
        <w:sectPr w:rsidR="00AA2ED7" w:rsidRPr="00AA2ED7" w:rsidSect="00AA2ED7">
          <w:headerReference w:type="first" r:id="rId38"/>
          <w:footerReference w:type="first" r:id="rId39"/>
          <w:pgSz w:w="11906" w:h="16838" w:code="9"/>
          <w:pgMar w:top="851" w:right="709" w:bottom="851" w:left="709" w:header="426" w:footer="542" w:gutter="0"/>
          <w:cols w:space="567"/>
          <w:titlePg/>
          <w:docGrid w:linePitch="360"/>
        </w:sectPr>
      </w:pPr>
      <w:r>
        <w:rPr>
          <w:rFonts w:cs="Arial"/>
        </w:rPr>
        <w:t xml:space="preserve">All relevant health professionals, who in the course of their duties formulate a reasonable suspicion that a child or youth has been abused or neglected in their home/community environment, have a legislative and a duty of care obligation to immediately report such concerns to Child Safety Services, </w:t>
      </w:r>
      <w:r w:rsidR="00AF142D" w:rsidRPr="00915E4D">
        <w:rPr>
          <w:rFonts w:cs="Arial"/>
        </w:rPr>
        <w:t>Department of Communities.</w:t>
      </w:r>
    </w:p>
    <w:p w14:paraId="631F9AB1" w14:textId="004304DF" w:rsidR="00AA2ED7" w:rsidRPr="00AA2ED7" w:rsidRDefault="005C2FD5" w:rsidP="007C39EB">
      <w:pPr>
        <w:pStyle w:val="BodyText"/>
        <w:jc w:val="center"/>
        <w:rPr>
          <w:b/>
          <w:bCs/>
        </w:rPr>
      </w:pPr>
      <w:r>
        <w:rPr>
          <w:noProof/>
        </w:rPr>
        <w:lastRenderedPageBreak/>
        <w:drawing>
          <wp:anchor distT="0" distB="0" distL="114300" distR="114300" simplePos="0" relativeHeight="251661312" behindDoc="0" locked="0" layoutInCell="1" allowOverlap="1" wp14:anchorId="261E9C28" wp14:editId="2982E832">
            <wp:simplePos x="0" y="0"/>
            <wp:positionH relativeFrom="column">
              <wp:posOffset>78740</wp:posOffset>
            </wp:positionH>
            <wp:positionV relativeFrom="paragraph">
              <wp:posOffset>-213360</wp:posOffset>
            </wp:positionV>
            <wp:extent cx="9431655" cy="661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431655" cy="6616700"/>
                    </a:xfrm>
                    <a:prstGeom prst="rect">
                      <a:avLst/>
                    </a:prstGeom>
                  </pic:spPr>
                </pic:pic>
              </a:graphicData>
            </a:graphic>
          </wp:anchor>
        </w:drawing>
      </w:r>
    </w:p>
    <w:sectPr w:rsidR="00AA2ED7" w:rsidRPr="00AA2ED7" w:rsidSect="00AA2ED7">
      <w:headerReference w:type="first" r:id="rId41"/>
      <w:pgSz w:w="16838" w:h="11906" w:orient="landscape" w:code="9"/>
      <w:pgMar w:top="709" w:right="1134" w:bottom="709" w:left="851" w:header="426"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F7D4" w14:textId="77777777" w:rsidR="003A1ADE" w:rsidRDefault="003A1ADE" w:rsidP="00185154">
      <w:r>
        <w:separator/>
      </w:r>
    </w:p>
    <w:p w14:paraId="058C6FD0" w14:textId="77777777" w:rsidR="003A1ADE" w:rsidRDefault="003A1ADE"/>
  </w:endnote>
  <w:endnote w:type="continuationSeparator" w:id="0">
    <w:p w14:paraId="5759FAC9" w14:textId="77777777" w:rsidR="003A1ADE" w:rsidRDefault="003A1ADE" w:rsidP="00185154">
      <w:r>
        <w:continuationSeparator/>
      </w:r>
    </w:p>
    <w:p w14:paraId="31F6E070" w14:textId="77777777" w:rsidR="003A1ADE" w:rsidRDefault="003A1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1911"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5426A99C" w14:textId="77777777" w:rsidTr="009D2E3F">
      <w:tc>
        <w:tcPr>
          <w:tcW w:w="9214" w:type="dxa"/>
        </w:tcPr>
        <w:p w14:paraId="6D9C8175" w14:textId="5DECAE9A" w:rsidR="002C051E" w:rsidRPr="00C206B6" w:rsidRDefault="00C43035" w:rsidP="002C051E">
          <w:pPr>
            <w:pStyle w:val="Footer"/>
          </w:pPr>
          <w:r w:rsidRPr="00787A51">
            <w:t>V</w:t>
          </w:r>
          <w:sdt>
            <w:sdtPr>
              <w:alias w:val="Version"/>
              <w:tag w:val="Version"/>
              <w:id w:val="-1967342797"/>
              <w:placeholder>
                <w:docPart w:val="B7DB5DE0BBA34FD0BDA3821D8433ECCD"/>
              </w:placeholder>
              <w:dataBinding w:prefixMappings="xmlns:ns0='http://www.health.qld.gov.au/metronorth/docdata' " w:xpath="/ns0:CC_Map[1]/ns0:Version[1]" w:storeItemID="{6C0E1C76-0D1A-4877-BE6C-11144862CE15}"/>
              <w:text/>
            </w:sdtPr>
            <w:sdtEndPr/>
            <w:sdtContent>
              <w:r w:rsidR="006676DD">
                <w:t>4.0</w:t>
              </w:r>
            </w:sdtContent>
          </w:sdt>
          <w:r w:rsidRPr="00787A51">
            <w:t xml:space="preserve"> Effective: </w:t>
          </w:r>
          <w:sdt>
            <w:sdtPr>
              <w:alias w:val="Effective Date"/>
              <w:tag w:val="Effective Date"/>
              <w:id w:val="92831055"/>
              <w:dataBinding w:prefixMappings="xmlns:ns0='http://www.health.qld.gov.au/metronorth/docdata' " w:xpath="/ns0:CC_Map[1]/ns0:EffectiveDate[1]" w:storeItemID="{6C0E1C76-0D1A-4877-BE6C-11144862CE15}"/>
              <w:date w:fullDate="2023-05-01T00:00:00Z">
                <w:dateFormat w:val="MMMM yyyy"/>
                <w:lid w:val="en-AU"/>
                <w:storeMappedDataAs w:val="dateTime"/>
                <w:calendar w:val="gregorian"/>
              </w:date>
            </w:sdtPr>
            <w:sdtEndPr/>
            <w:sdtContent>
              <w:r w:rsidR="006676DD">
                <w:t>May 2023</w:t>
              </w:r>
            </w:sdtContent>
          </w:sdt>
          <w:r w:rsidRPr="00787A51">
            <w:t xml:space="preserve"> Review: </w:t>
          </w:r>
          <w:sdt>
            <w:sdtPr>
              <w:alias w:val="Review Date"/>
              <w:tag w:val="Review Date"/>
              <w:id w:val="-1416618389"/>
              <w:dataBinding w:prefixMappings="xmlns:ns0='http://www.health.qld.gov.au/metronorth/docdata' " w:xpath="/ns0:CC_Map[1]/ns0:ReviewDate[1]" w:storeItemID="{6C0E1C76-0D1A-4877-BE6C-11144862CE15}"/>
              <w:date w:fullDate="2024-05-01T00:00:00Z">
                <w:dateFormat w:val="MMMM yyyy"/>
                <w:lid w:val="en-AU"/>
                <w:storeMappedDataAs w:val="dateTime"/>
                <w:calendar w:val="gregorian"/>
              </w:date>
            </w:sdtPr>
            <w:sdtEndPr/>
            <w:sdtContent>
              <w:r w:rsidR="00D238DF">
                <w:t>May 2024</w:t>
              </w:r>
            </w:sdtContent>
          </w:sdt>
        </w:p>
      </w:tc>
      <w:tc>
        <w:tcPr>
          <w:tcW w:w="1274" w:type="dxa"/>
          <w:vAlign w:val="bottom"/>
        </w:tcPr>
        <w:p w14:paraId="281F4F01"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C43035">
            <w:rPr>
              <w:noProof/>
            </w:rPr>
            <w:t>2</w:t>
          </w:r>
          <w:r w:rsidRPr="00C206B6">
            <w:fldChar w:fldCharType="end"/>
          </w:r>
          <w:r w:rsidRPr="00C206B6">
            <w:t xml:space="preserve"> of </w:t>
          </w:r>
          <w:r w:rsidR="004D6DC2">
            <w:fldChar w:fldCharType="begin"/>
          </w:r>
          <w:r w:rsidR="004D6DC2">
            <w:instrText xml:space="preserve"> NUMPAGES  \* Arabic  \* MERGEFORMAT </w:instrText>
          </w:r>
          <w:r w:rsidR="004D6DC2">
            <w:fldChar w:fldCharType="separate"/>
          </w:r>
          <w:r w:rsidR="00C43035">
            <w:rPr>
              <w:noProof/>
            </w:rPr>
            <w:t>2</w:t>
          </w:r>
          <w:r w:rsidR="004D6DC2">
            <w:rPr>
              <w:noProof/>
            </w:rPr>
            <w:fldChar w:fldCharType="end"/>
          </w:r>
        </w:p>
      </w:tc>
    </w:tr>
  </w:tbl>
  <w:p w14:paraId="6A45B41D"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25A8" w14:textId="12BD87AA" w:rsidR="002C051E" w:rsidRPr="002C051E" w:rsidRDefault="0083623D" w:rsidP="002C051E">
    <w:pPr>
      <w:pStyle w:val="Footer"/>
    </w:pPr>
    <w:r w:rsidRPr="008542EE">
      <w:rPr>
        <w:noProof/>
      </w:rPr>
      <w:drawing>
        <wp:anchor distT="0" distB="0" distL="114300" distR="114300" simplePos="0" relativeHeight="251659264" behindDoc="1" locked="0" layoutInCell="1" allowOverlap="1" wp14:anchorId="1CB81B15" wp14:editId="63E2F421">
          <wp:simplePos x="0" y="0"/>
          <wp:positionH relativeFrom="page">
            <wp:posOffset>4166870</wp:posOffset>
          </wp:positionH>
          <wp:positionV relativeFrom="page">
            <wp:posOffset>9788525</wp:posOffset>
          </wp:positionV>
          <wp:extent cx="3368026" cy="879154"/>
          <wp:effectExtent l="0" t="0" r="4445" b="0"/>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749F8282" w14:textId="19D09EAD" w:rsidR="002C051E" w:rsidRPr="002C051E" w:rsidRDefault="002C051E" w:rsidP="002C051E">
    <w:pPr>
      <w:pStyle w:val="Footer"/>
    </w:pPr>
  </w:p>
  <w:p w14:paraId="265EA552" w14:textId="48945170" w:rsidR="002C051E" w:rsidRPr="002C051E" w:rsidRDefault="002C051E" w:rsidP="002C051E">
    <w:pPr>
      <w:pStyle w:val="Footer"/>
    </w:pPr>
  </w:p>
  <w:p w14:paraId="17F90A71" w14:textId="05C505F2" w:rsidR="002C051E" w:rsidRPr="002C051E" w:rsidRDefault="002C051E" w:rsidP="002C051E">
    <w:pPr>
      <w:pStyle w:val="Footer"/>
    </w:pPr>
  </w:p>
  <w:tbl>
    <w:tblPr>
      <w:tblW w:w="4393" w:type="pct"/>
      <w:tblCellMar>
        <w:left w:w="0" w:type="dxa"/>
        <w:right w:w="0" w:type="dxa"/>
      </w:tblCellMar>
      <w:tblLook w:val="0600" w:firstRow="0" w:lastRow="0" w:firstColumn="0" w:lastColumn="0" w:noHBand="1" w:noVBand="1"/>
    </w:tblPr>
    <w:tblGrid>
      <w:gridCol w:w="13049"/>
    </w:tblGrid>
    <w:tr w:rsidR="00870BEE" w:rsidRPr="00C206B6" w14:paraId="5BDFE827" w14:textId="77777777" w:rsidTr="00870BEE">
      <w:tc>
        <w:tcPr>
          <w:tcW w:w="9214" w:type="dxa"/>
        </w:tcPr>
        <w:p w14:paraId="170D5C6C" w14:textId="618CF1E1" w:rsidR="00870BEE" w:rsidRPr="00C206B6" w:rsidRDefault="00870BEE" w:rsidP="00870BEE">
          <w:pPr>
            <w:pStyle w:val="Footer"/>
          </w:pPr>
          <w:r w:rsidRPr="00787A51">
            <w:t>V</w:t>
          </w:r>
          <w:sdt>
            <w:sdtPr>
              <w:alias w:val="Version"/>
              <w:tag w:val="Version"/>
              <w:id w:val="1224882284"/>
              <w:placeholder>
                <w:docPart w:val="57DA7DD1FF964FB9A510849892CA8CF0"/>
              </w:placeholder>
              <w:dataBinding w:prefixMappings="xmlns:ns0='http://www.health.qld.gov.au/metronorth/docdata' " w:xpath="/ns0:CC_Map[1]/ns0:Version[1]" w:storeItemID="{6C0E1C76-0D1A-4877-BE6C-11144862CE15}"/>
              <w:text/>
            </w:sdtPr>
            <w:sdtEndPr/>
            <w:sdtContent>
              <w:r w:rsidR="006676DD">
                <w:t>4</w:t>
              </w:r>
              <w:r>
                <w:t>.0</w:t>
              </w:r>
            </w:sdtContent>
          </w:sdt>
          <w:r w:rsidRPr="00787A51">
            <w:t xml:space="preserve"> Effective: </w:t>
          </w:r>
          <w:sdt>
            <w:sdtPr>
              <w:alias w:val="Effective Date"/>
              <w:tag w:val="Effective Date"/>
              <w:id w:val="-843629451"/>
              <w:dataBinding w:prefixMappings="xmlns:ns0='http://www.health.qld.gov.au/metronorth/docdata' " w:xpath="/ns0:CC_Map[1]/ns0:EffectiveDate[1]" w:storeItemID="{6C0E1C76-0D1A-4877-BE6C-11144862CE15}"/>
              <w:date w:fullDate="2023-05-01T00:00:00Z">
                <w:dateFormat w:val="MMMM yyyy"/>
                <w:lid w:val="en-AU"/>
                <w:storeMappedDataAs w:val="dateTime"/>
                <w:calendar w:val="gregorian"/>
              </w:date>
            </w:sdtPr>
            <w:sdtEndPr/>
            <w:sdtContent>
              <w:r w:rsidR="006676DD">
                <w:t>May 2023</w:t>
              </w:r>
            </w:sdtContent>
          </w:sdt>
          <w:r w:rsidRPr="00787A51">
            <w:t xml:space="preserve"> Review: </w:t>
          </w:r>
          <w:sdt>
            <w:sdtPr>
              <w:alias w:val="Review Date"/>
              <w:tag w:val="Review Date"/>
              <w:id w:val="-1552376411"/>
              <w:dataBinding w:prefixMappings="xmlns:ns0='http://www.health.qld.gov.au/metronorth/docdata' " w:xpath="/ns0:CC_Map[1]/ns0:ReviewDate[1]" w:storeItemID="{6C0E1C76-0D1A-4877-BE6C-11144862CE15}"/>
              <w:date w:fullDate="2024-05-01T00:00:00Z">
                <w:dateFormat w:val="MMMM yyyy"/>
                <w:lid w:val="en-AU"/>
                <w:storeMappedDataAs w:val="dateTime"/>
                <w:calendar w:val="gregorian"/>
              </w:date>
            </w:sdtPr>
            <w:sdtEndPr/>
            <w:sdtContent>
              <w:r w:rsidR="00D238DF">
                <w:t>May 2024</w:t>
              </w:r>
            </w:sdtContent>
          </w:sdt>
        </w:p>
      </w:tc>
    </w:tr>
  </w:tbl>
  <w:p w14:paraId="00575B28" w14:textId="77777777" w:rsidR="002C051E" w:rsidRPr="002C051E" w:rsidRDefault="002C051E" w:rsidP="002C051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36D4" w14:textId="48522DCA" w:rsidR="000541AB" w:rsidRPr="002C051E" w:rsidRDefault="000541AB" w:rsidP="002C051E">
    <w:pPr>
      <w:pStyle w:val="Footer"/>
    </w:pPr>
  </w:p>
  <w:p w14:paraId="7C9948EA" w14:textId="77777777" w:rsidR="000541AB" w:rsidRPr="002C051E" w:rsidRDefault="000541AB" w:rsidP="002C051E">
    <w:pPr>
      <w:pStyle w:val="Footer"/>
    </w:pPr>
  </w:p>
  <w:p w14:paraId="1F8F3A69" w14:textId="77777777" w:rsidR="000541AB" w:rsidRPr="002C051E" w:rsidRDefault="000541AB" w:rsidP="002C051E">
    <w:pPr>
      <w:pStyle w:val="Footer"/>
    </w:pPr>
  </w:p>
  <w:p w14:paraId="54C09C4B" w14:textId="77777777" w:rsidR="000541AB" w:rsidRPr="002C051E" w:rsidRDefault="000541AB" w:rsidP="002C051E">
    <w:pPr>
      <w:pStyle w:val="Footer"/>
    </w:pPr>
  </w:p>
  <w:p w14:paraId="7C38D464" w14:textId="77777777" w:rsidR="000541AB" w:rsidRPr="002C051E" w:rsidRDefault="000541AB" w:rsidP="002C051E">
    <w:pPr>
      <w:pStyle w:val="Footer"/>
    </w:pPr>
  </w:p>
  <w:p w14:paraId="2B38F6CB" w14:textId="77777777" w:rsidR="000541AB" w:rsidRPr="002C051E" w:rsidRDefault="000541AB"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5681" w14:textId="77777777" w:rsidR="003A1ADE" w:rsidRDefault="003A1ADE" w:rsidP="00185154">
      <w:r>
        <w:separator/>
      </w:r>
    </w:p>
    <w:p w14:paraId="68CD9097" w14:textId="77777777" w:rsidR="003A1ADE" w:rsidRDefault="003A1ADE"/>
  </w:footnote>
  <w:footnote w:type="continuationSeparator" w:id="0">
    <w:p w14:paraId="3C6BEBD5" w14:textId="77777777" w:rsidR="003A1ADE" w:rsidRDefault="003A1ADE" w:rsidP="00185154">
      <w:r>
        <w:continuationSeparator/>
      </w:r>
    </w:p>
    <w:p w14:paraId="13430C3E" w14:textId="77777777" w:rsidR="003A1ADE" w:rsidRDefault="003A1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41AA" w14:textId="77777777" w:rsidR="00673B79" w:rsidRDefault="003D3431" w:rsidP="00673B79">
    <w:r w:rsidRPr="00CE617A">
      <w:rPr>
        <w:noProof/>
        <w:lang w:eastAsia="en-AU"/>
      </w:rPr>
      <w:drawing>
        <wp:anchor distT="0" distB="0" distL="114300" distR="114300" simplePos="0" relativeHeight="251656704" behindDoc="1" locked="0" layoutInCell="1" allowOverlap="1" wp14:anchorId="6A34CD2A" wp14:editId="435D5522">
          <wp:simplePos x="0" y="0"/>
          <wp:positionH relativeFrom="page">
            <wp:align>center</wp:align>
          </wp:positionH>
          <wp:positionV relativeFrom="page">
            <wp:align>top</wp:align>
          </wp:positionV>
          <wp:extent cx="7578000" cy="16668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1"/>
                  <a:srcRect l="119" r="119"/>
                  <a:stretch/>
                </pic:blipFill>
                <pic:spPr bwMode="auto">
                  <a:xfrm>
                    <a:off x="0" y="0"/>
                    <a:ext cx="7578000" cy="16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1AD8EB" w14:textId="77777777" w:rsidR="00673B79" w:rsidRDefault="00673B79" w:rsidP="00673B79"/>
  <w:p w14:paraId="7F00981E" w14:textId="77777777" w:rsidR="00673B79" w:rsidRPr="00673B79" w:rsidRDefault="00673B79" w:rsidP="00673B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7F5E" w14:textId="77777777" w:rsidR="00ED73FF" w:rsidRDefault="00ED7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A1A" w14:textId="77777777" w:rsidR="00ED73FF" w:rsidRDefault="00ED73FF" w:rsidP="00ED73FF">
    <w:pPr>
      <w:pStyle w:val="CoverDetails"/>
      <w:pBdr>
        <w:right w:val="single" w:sz="48" w:space="5" w:color="C2E9F1"/>
      </w:pBdr>
      <w:jc w:val="left"/>
      <w:rPr>
        <w:rFonts w:ascii="Arial" w:hAnsi="Arial" w:cs="Arial"/>
        <w:sz w:val="22"/>
      </w:rPr>
    </w:pPr>
    <w:r>
      <w:rPr>
        <w:rFonts w:ascii="Arial" w:hAnsi="Arial" w:cs="Arial"/>
        <w:b/>
        <w:bCs/>
        <w:iCs w:val="0"/>
        <w:sz w:val="24"/>
      </w:rPr>
      <w:t>Team Structure</w:t>
    </w:r>
  </w:p>
  <w:p w14:paraId="07B34A37" w14:textId="3FC8D2DE" w:rsidR="002102F9" w:rsidRDefault="002102F9" w:rsidP="00673B79"/>
  <w:p w14:paraId="0432C839" w14:textId="77777777" w:rsidR="002102F9" w:rsidRDefault="002102F9" w:rsidP="00673B79"/>
  <w:p w14:paraId="2B37D494" w14:textId="77777777" w:rsidR="002102F9" w:rsidRPr="00673B79" w:rsidRDefault="002102F9" w:rsidP="00673B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6A76" w14:textId="77777777" w:rsidR="00A6205D" w:rsidRDefault="00A6205D" w:rsidP="00A6205D">
    <w:pPr>
      <w:pStyle w:val="CoverDetails"/>
      <w:pBdr>
        <w:right w:val="single" w:sz="48" w:space="5" w:color="C2E9F1"/>
      </w:pBdr>
      <w:jc w:val="left"/>
      <w:rPr>
        <w:rFonts w:ascii="Arial" w:hAnsi="Arial" w:cs="Arial"/>
        <w:sz w:val="22"/>
      </w:rPr>
    </w:pPr>
    <w:r>
      <w:rPr>
        <w:rFonts w:ascii="Arial" w:hAnsi="Arial" w:cs="Arial"/>
        <w:b/>
        <w:bCs/>
        <w:iCs w:val="0"/>
        <w:sz w:val="24"/>
      </w:rPr>
      <w:t>Appendix</w:t>
    </w:r>
  </w:p>
  <w:p w14:paraId="1FB8E0DA" w14:textId="77777777" w:rsidR="00C20088" w:rsidRDefault="00C20088" w:rsidP="00673B79"/>
  <w:p w14:paraId="1296C08C" w14:textId="1D92D54F" w:rsidR="00C20088" w:rsidRDefault="00AA2ED7" w:rsidP="00AA2ED7">
    <w:pPr>
      <w:tabs>
        <w:tab w:val="left" w:pos="1905"/>
      </w:tabs>
    </w:pPr>
    <w:r>
      <w:tab/>
    </w:r>
  </w:p>
  <w:p w14:paraId="3C657AEC" w14:textId="77777777" w:rsidR="00C20088" w:rsidRPr="00673B79" w:rsidRDefault="00C20088" w:rsidP="00673B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289D" w14:textId="77777777" w:rsidR="00AA2ED7" w:rsidRDefault="00AA2ED7" w:rsidP="00673B79"/>
  <w:p w14:paraId="292FF95C" w14:textId="77777777" w:rsidR="00AA2ED7" w:rsidRDefault="00AA2ED7" w:rsidP="00673B79"/>
  <w:p w14:paraId="307E0EAC" w14:textId="77777777" w:rsidR="00AA2ED7" w:rsidRPr="00673B79" w:rsidRDefault="00AA2ED7"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3CE6C82"/>
    <w:multiLevelType w:val="hybridMultilevel"/>
    <w:tmpl w:val="F66C22D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285B5392"/>
    <w:multiLevelType w:val="multilevel"/>
    <w:tmpl w:val="FD08A010"/>
    <w:numStyleLink w:val="ListTableNumber"/>
  </w:abstractNum>
  <w:abstractNum w:abstractNumId="6" w15:restartNumberingAfterBreak="0">
    <w:nsid w:val="2AEE18DD"/>
    <w:multiLevelType w:val="multilevel"/>
    <w:tmpl w:val="9D625AA6"/>
    <w:numStyleLink w:val="ListNumberedHeadings"/>
  </w:abstractNum>
  <w:abstractNum w:abstractNumId="7" w15:restartNumberingAfterBreak="0">
    <w:nsid w:val="317A6265"/>
    <w:multiLevelType w:val="hybridMultilevel"/>
    <w:tmpl w:val="C8C0EAB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9" w15:restartNumberingAfterBreak="0">
    <w:nsid w:val="3AFD3BA6"/>
    <w:multiLevelType w:val="hybridMultilevel"/>
    <w:tmpl w:val="D0968B14"/>
    <w:lvl w:ilvl="0" w:tplc="0C090005">
      <w:start w:val="1"/>
      <w:numFmt w:val="bullet"/>
      <w:lvlText w:val=""/>
      <w:lvlJc w:val="left"/>
      <w:pPr>
        <w:tabs>
          <w:tab w:val="num" w:pos="288"/>
        </w:tabs>
        <w:ind w:left="360" w:hanging="360"/>
      </w:pPr>
      <w:rPr>
        <w:rFonts w:ascii="Wingdings" w:hAnsi="Wingdings" w:hint="default"/>
      </w:rPr>
    </w:lvl>
    <w:lvl w:ilvl="1" w:tplc="0C090003">
      <w:start w:val="1"/>
      <w:numFmt w:val="bullet"/>
      <w:lvlText w:val="o"/>
      <w:lvlJc w:val="left"/>
      <w:pPr>
        <w:tabs>
          <w:tab w:val="num" w:pos="-540"/>
        </w:tabs>
        <w:ind w:left="-540" w:hanging="360"/>
      </w:pPr>
      <w:rPr>
        <w:rFonts w:ascii="Courier New" w:hAnsi="Courier New" w:cs="Courier New" w:hint="default"/>
      </w:rPr>
    </w:lvl>
    <w:lvl w:ilvl="2" w:tplc="79E82E04">
      <w:start w:val="7"/>
      <w:numFmt w:val="bullet"/>
      <w:lvlText w:val="-"/>
      <w:lvlJc w:val="left"/>
      <w:pPr>
        <w:tabs>
          <w:tab w:val="num" w:pos="180"/>
        </w:tabs>
        <w:ind w:left="180" w:hanging="360"/>
      </w:pPr>
      <w:rPr>
        <w:rFonts w:ascii="Arial" w:eastAsia="Times New Roman" w:hAnsi="Arial" w:cs="Arial" w:hint="default"/>
      </w:rPr>
    </w:lvl>
    <w:lvl w:ilvl="3" w:tplc="0C090005">
      <w:start w:val="1"/>
      <w:numFmt w:val="bullet"/>
      <w:lvlText w:val=""/>
      <w:lvlJc w:val="left"/>
      <w:pPr>
        <w:tabs>
          <w:tab w:val="num" w:pos="900"/>
        </w:tabs>
        <w:ind w:left="900" w:hanging="360"/>
      </w:pPr>
      <w:rPr>
        <w:rFonts w:ascii="Wingdings" w:hAnsi="Wingdings" w:hint="default"/>
      </w:rPr>
    </w:lvl>
    <w:lvl w:ilvl="4" w:tplc="0C090003">
      <w:start w:val="1"/>
      <w:numFmt w:val="bullet"/>
      <w:lvlText w:val="o"/>
      <w:lvlJc w:val="left"/>
      <w:pPr>
        <w:tabs>
          <w:tab w:val="num" w:pos="1620"/>
        </w:tabs>
        <w:ind w:left="1620" w:hanging="360"/>
      </w:pPr>
      <w:rPr>
        <w:rFonts w:ascii="Courier New" w:hAnsi="Courier New" w:cs="Courier New" w:hint="default"/>
      </w:rPr>
    </w:lvl>
    <w:lvl w:ilvl="5" w:tplc="0C090005">
      <w:start w:val="1"/>
      <w:numFmt w:val="bullet"/>
      <w:lvlText w:val=""/>
      <w:lvlJc w:val="left"/>
      <w:pPr>
        <w:tabs>
          <w:tab w:val="num" w:pos="2340"/>
        </w:tabs>
        <w:ind w:left="2340" w:hanging="360"/>
      </w:pPr>
      <w:rPr>
        <w:rFonts w:ascii="Wingdings" w:hAnsi="Wingdings" w:hint="default"/>
      </w:rPr>
    </w:lvl>
    <w:lvl w:ilvl="6" w:tplc="0C090001">
      <w:start w:val="1"/>
      <w:numFmt w:val="bullet"/>
      <w:lvlText w:val=""/>
      <w:lvlJc w:val="left"/>
      <w:pPr>
        <w:tabs>
          <w:tab w:val="num" w:pos="3060"/>
        </w:tabs>
        <w:ind w:left="3060" w:hanging="360"/>
      </w:pPr>
      <w:rPr>
        <w:rFonts w:ascii="Symbol" w:hAnsi="Symbol" w:hint="default"/>
      </w:rPr>
    </w:lvl>
    <w:lvl w:ilvl="7" w:tplc="0C090003">
      <w:start w:val="1"/>
      <w:numFmt w:val="bullet"/>
      <w:lvlText w:val="o"/>
      <w:lvlJc w:val="left"/>
      <w:pPr>
        <w:tabs>
          <w:tab w:val="num" w:pos="3780"/>
        </w:tabs>
        <w:ind w:left="3780" w:hanging="360"/>
      </w:pPr>
      <w:rPr>
        <w:rFonts w:ascii="Courier New" w:hAnsi="Courier New" w:cs="Courier New" w:hint="default"/>
      </w:rPr>
    </w:lvl>
    <w:lvl w:ilvl="8" w:tplc="0C090005">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2B55946"/>
    <w:multiLevelType w:val="hybridMultilevel"/>
    <w:tmpl w:val="F586AEAC"/>
    <w:lvl w:ilvl="0" w:tplc="B270E918">
      <w:start w:val="1"/>
      <w:numFmt w:val="bullet"/>
      <w:lvlText w:val=""/>
      <w:lvlJc w:val="left"/>
      <w:pPr>
        <w:ind w:left="360" w:hanging="360"/>
      </w:pPr>
      <w:rPr>
        <w:rFonts w:ascii="Wingdings" w:hAnsi="Wingdings"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7B04AA"/>
    <w:multiLevelType w:val="hybridMultilevel"/>
    <w:tmpl w:val="2BFA9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63714013"/>
    <w:multiLevelType w:val="hybridMultilevel"/>
    <w:tmpl w:val="14CC546A"/>
    <w:lvl w:ilvl="0" w:tplc="D57EBDDC">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EA20496"/>
    <w:multiLevelType w:val="hybridMultilevel"/>
    <w:tmpl w:val="0AE67996"/>
    <w:lvl w:ilvl="0" w:tplc="0C5EC5B4">
      <w:start w:val="1"/>
      <w:numFmt w:val="bullet"/>
      <w:lvlText w:val=""/>
      <w:lvlJc w:val="left"/>
      <w:pPr>
        <w:tabs>
          <w:tab w:val="num" w:pos="360"/>
        </w:tabs>
        <w:ind w:left="360" w:hanging="360"/>
      </w:pPr>
      <w:rPr>
        <w:rFonts w:ascii="Wingdings" w:hAnsi="Wingdings" w:hint="default"/>
        <w:color w:val="auto"/>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E46109"/>
    <w:multiLevelType w:val="multilevel"/>
    <w:tmpl w:val="B05AE864"/>
    <w:numStyleLink w:val="ListTableBullet"/>
  </w:abstractNum>
  <w:abstractNum w:abstractNumId="17" w15:restartNumberingAfterBreak="0">
    <w:nsid w:val="79E341B3"/>
    <w:multiLevelType w:val="multilevel"/>
    <w:tmpl w:val="B05AE864"/>
    <w:numStyleLink w:val="ListTableBullet"/>
  </w:abstractNum>
  <w:abstractNum w:abstractNumId="18" w15:restartNumberingAfterBreak="0">
    <w:nsid w:val="7BC87691"/>
    <w:multiLevelType w:val="multilevel"/>
    <w:tmpl w:val="FD08A010"/>
    <w:numStyleLink w:val="ListTableNumber"/>
  </w:abstractNum>
  <w:abstractNum w:abstractNumId="19" w15:restartNumberingAfterBreak="0">
    <w:nsid w:val="7E060C57"/>
    <w:multiLevelType w:val="hybridMultilevel"/>
    <w:tmpl w:val="1DB2AA6C"/>
    <w:lvl w:ilvl="0" w:tplc="799CC794">
      <w:start w:val="1"/>
      <w:numFmt w:val="decimal"/>
      <w:lvlText w:val="%1."/>
      <w:lvlJc w:val="left"/>
      <w:pPr>
        <w:tabs>
          <w:tab w:val="num" w:pos="360"/>
        </w:tabs>
        <w:ind w:left="360" w:hanging="360"/>
      </w:pPr>
      <w:rPr>
        <w:b w:val="0"/>
        <w:bCs/>
        <w:color w:val="auto"/>
        <w:sz w:val="20"/>
        <w:szCs w:val="20"/>
      </w:rPr>
    </w:lvl>
    <w:lvl w:ilvl="1" w:tplc="0C090003">
      <w:numFmt w:val="decimal"/>
      <w:lvlText w:val="o"/>
      <w:lvlJc w:val="left"/>
      <w:pPr>
        <w:tabs>
          <w:tab w:val="num" w:pos="1440"/>
        </w:tabs>
        <w:ind w:left="1440" w:hanging="360"/>
      </w:pPr>
      <w:rPr>
        <w:rFonts w:ascii="Courier New" w:hAnsi="Courier New" w:cs="Courier New" w:hint="default"/>
      </w:rPr>
    </w:lvl>
    <w:lvl w:ilvl="2" w:tplc="0C090005">
      <w:numFmt w:val="decimal"/>
      <w:lvlText w:val=""/>
      <w:lvlJc w:val="left"/>
      <w:pPr>
        <w:tabs>
          <w:tab w:val="num" w:pos="2160"/>
        </w:tabs>
        <w:ind w:left="2160" w:hanging="360"/>
      </w:pPr>
      <w:rPr>
        <w:rFonts w:ascii="Wingdings" w:hAnsi="Wingdings" w:hint="default"/>
      </w:rPr>
    </w:lvl>
    <w:lvl w:ilvl="3" w:tplc="0C090001">
      <w:numFmt w:val="decimal"/>
      <w:lvlText w:val=""/>
      <w:lvlJc w:val="left"/>
      <w:pPr>
        <w:tabs>
          <w:tab w:val="num" w:pos="2880"/>
        </w:tabs>
        <w:ind w:left="2880" w:hanging="360"/>
      </w:pPr>
      <w:rPr>
        <w:rFonts w:ascii="Symbol" w:hAnsi="Symbol" w:hint="default"/>
      </w:rPr>
    </w:lvl>
    <w:lvl w:ilvl="4" w:tplc="0C090003">
      <w:numFmt w:val="decimal"/>
      <w:lvlText w:val="o"/>
      <w:lvlJc w:val="left"/>
      <w:pPr>
        <w:tabs>
          <w:tab w:val="num" w:pos="3600"/>
        </w:tabs>
        <w:ind w:left="3600" w:hanging="360"/>
      </w:pPr>
      <w:rPr>
        <w:rFonts w:ascii="Courier New" w:hAnsi="Courier New" w:cs="Courier New" w:hint="default"/>
      </w:rPr>
    </w:lvl>
    <w:lvl w:ilvl="5" w:tplc="0C090005">
      <w:numFmt w:val="decimal"/>
      <w:lvlText w:val=""/>
      <w:lvlJc w:val="left"/>
      <w:pPr>
        <w:tabs>
          <w:tab w:val="num" w:pos="4320"/>
        </w:tabs>
        <w:ind w:left="4320" w:hanging="360"/>
      </w:pPr>
      <w:rPr>
        <w:rFonts w:ascii="Wingdings" w:hAnsi="Wingdings" w:hint="default"/>
      </w:rPr>
    </w:lvl>
    <w:lvl w:ilvl="6" w:tplc="0C090001">
      <w:numFmt w:val="decimal"/>
      <w:lvlText w:val=""/>
      <w:lvlJc w:val="left"/>
      <w:pPr>
        <w:tabs>
          <w:tab w:val="num" w:pos="5040"/>
        </w:tabs>
        <w:ind w:left="5040" w:hanging="360"/>
      </w:pPr>
      <w:rPr>
        <w:rFonts w:ascii="Symbol" w:hAnsi="Symbol" w:hint="default"/>
      </w:rPr>
    </w:lvl>
    <w:lvl w:ilvl="7" w:tplc="0C090003">
      <w:numFmt w:val="decimal"/>
      <w:lvlText w:val="o"/>
      <w:lvlJc w:val="left"/>
      <w:pPr>
        <w:tabs>
          <w:tab w:val="num" w:pos="5760"/>
        </w:tabs>
        <w:ind w:left="5760" w:hanging="360"/>
      </w:pPr>
      <w:rPr>
        <w:rFonts w:ascii="Courier New" w:hAnsi="Courier New" w:cs="Courier New" w:hint="default"/>
      </w:rPr>
    </w:lvl>
    <w:lvl w:ilvl="8" w:tplc="0C090005">
      <w:numFmt w:val="decimal"/>
      <w:lvlText w:val=""/>
      <w:lvlJc w:val="left"/>
      <w:pPr>
        <w:tabs>
          <w:tab w:val="num" w:pos="6480"/>
        </w:tabs>
        <w:ind w:left="6480" w:hanging="360"/>
      </w:pPr>
      <w:rPr>
        <w:rFonts w:ascii="Wingdings" w:hAnsi="Wingdings" w:hint="default"/>
      </w:rPr>
    </w:lvl>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798525757">
    <w:abstractNumId w:val="20"/>
  </w:num>
  <w:num w:numId="2" w16cid:durableId="240455359">
    <w:abstractNumId w:val="10"/>
  </w:num>
  <w:num w:numId="3" w16cid:durableId="1533570056">
    <w:abstractNumId w:val="2"/>
  </w:num>
  <w:num w:numId="4" w16cid:durableId="1730421056">
    <w:abstractNumId w:val="13"/>
  </w:num>
  <w:num w:numId="5" w16cid:durableId="1382244755">
    <w:abstractNumId w:val="5"/>
  </w:num>
  <w:num w:numId="6" w16cid:durableId="624385102">
    <w:abstractNumId w:val="17"/>
  </w:num>
  <w:num w:numId="7" w16cid:durableId="102727513">
    <w:abstractNumId w:val="6"/>
  </w:num>
  <w:num w:numId="8" w16cid:durableId="1867018065">
    <w:abstractNumId w:val="1"/>
  </w:num>
  <w:num w:numId="9" w16cid:durableId="124087565">
    <w:abstractNumId w:val="8"/>
  </w:num>
  <w:num w:numId="10" w16cid:durableId="2040281148">
    <w:abstractNumId w:val="4"/>
  </w:num>
  <w:num w:numId="11" w16cid:durableId="492913642">
    <w:abstractNumId w:val="0"/>
  </w:num>
  <w:num w:numId="12" w16cid:durableId="1342390784">
    <w:abstractNumId w:val="2"/>
  </w:num>
  <w:num w:numId="13" w16cid:durableId="1513061319">
    <w:abstractNumId w:val="13"/>
  </w:num>
  <w:num w:numId="14" w16cid:durableId="45958908">
    <w:abstractNumId w:val="16"/>
  </w:num>
  <w:num w:numId="15" w16cid:durableId="1857958095">
    <w:abstractNumId w:val="16"/>
  </w:num>
  <w:num w:numId="16" w16cid:durableId="543368485">
    <w:abstractNumId w:val="18"/>
  </w:num>
  <w:num w:numId="17" w16cid:durableId="1687437695">
    <w:abstractNumId w:val="18"/>
  </w:num>
  <w:num w:numId="18" w16cid:durableId="1797676197">
    <w:abstractNumId w:val="3"/>
  </w:num>
  <w:num w:numId="19" w16cid:durableId="1282885606">
    <w:abstractNumId w:val="7"/>
  </w:num>
  <w:num w:numId="20" w16cid:durableId="2127388836">
    <w:abstractNumId w:val="14"/>
  </w:num>
  <w:num w:numId="21" w16cid:durableId="519053646">
    <w:abstractNumId w:val="9"/>
  </w:num>
  <w:num w:numId="22" w16cid:durableId="550575633">
    <w:abstractNumId w:val="15"/>
  </w:num>
  <w:num w:numId="23" w16cid:durableId="636692198">
    <w:abstractNumId w:val="19"/>
  </w:num>
  <w:num w:numId="24" w16cid:durableId="1254897757">
    <w:abstractNumId w:val="3"/>
  </w:num>
  <w:num w:numId="25" w16cid:durableId="1790969787">
    <w:abstractNumId w:val="12"/>
  </w:num>
  <w:num w:numId="26" w16cid:durableId="674266949">
    <w:abstractNumId w:val="11"/>
  </w:num>
  <w:num w:numId="27" w16cid:durableId="205711965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CB"/>
    <w:rsid w:val="00006100"/>
    <w:rsid w:val="00011853"/>
    <w:rsid w:val="00017476"/>
    <w:rsid w:val="00025409"/>
    <w:rsid w:val="000300C2"/>
    <w:rsid w:val="000532DA"/>
    <w:rsid w:val="000541AB"/>
    <w:rsid w:val="00066DCB"/>
    <w:rsid w:val="00070809"/>
    <w:rsid w:val="00071C7D"/>
    <w:rsid w:val="00076879"/>
    <w:rsid w:val="00076F97"/>
    <w:rsid w:val="000870BB"/>
    <w:rsid w:val="00087D93"/>
    <w:rsid w:val="00094158"/>
    <w:rsid w:val="0009601C"/>
    <w:rsid w:val="000B3E5D"/>
    <w:rsid w:val="000B3EBE"/>
    <w:rsid w:val="000B6FA1"/>
    <w:rsid w:val="000C0C22"/>
    <w:rsid w:val="000C1D1E"/>
    <w:rsid w:val="000C5733"/>
    <w:rsid w:val="000C71A6"/>
    <w:rsid w:val="000F4A35"/>
    <w:rsid w:val="000F4D72"/>
    <w:rsid w:val="001063C6"/>
    <w:rsid w:val="00127F74"/>
    <w:rsid w:val="0013218E"/>
    <w:rsid w:val="00145CCD"/>
    <w:rsid w:val="001505D8"/>
    <w:rsid w:val="00154790"/>
    <w:rsid w:val="00156423"/>
    <w:rsid w:val="001600E5"/>
    <w:rsid w:val="00165421"/>
    <w:rsid w:val="00167FF3"/>
    <w:rsid w:val="001829A7"/>
    <w:rsid w:val="00185154"/>
    <w:rsid w:val="00185F85"/>
    <w:rsid w:val="0019114D"/>
    <w:rsid w:val="001A1E60"/>
    <w:rsid w:val="001B5CEA"/>
    <w:rsid w:val="001C4B66"/>
    <w:rsid w:val="001C4C30"/>
    <w:rsid w:val="001D4AC2"/>
    <w:rsid w:val="001E1E7E"/>
    <w:rsid w:val="001F16CA"/>
    <w:rsid w:val="001F66DB"/>
    <w:rsid w:val="001F7283"/>
    <w:rsid w:val="002078C1"/>
    <w:rsid w:val="002102F9"/>
    <w:rsid w:val="002106C4"/>
    <w:rsid w:val="00210DEF"/>
    <w:rsid w:val="0021223B"/>
    <w:rsid w:val="002218D3"/>
    <w:rsid w:val="00222215"/>
    <w:rsid w:val="00233EF2"/>
    <w:rsid w:val="00236DCC"/>
    <w:rsid w:val="0025119D"/>
    <w:rsid w:val="00252201"/>
    <w:rsid w:val="00254DD8"/>
    <w:rsid w:val="002557A0"/>
    <w:rsid w:val="00287321"/>
    <w:rsid w:val="00292804"/>
    <w:rsid w:val="00296DC2"/>
    <w:rsid w:val="002A3483"/>
    <w:rsid w:val="002B4003"/>
    <w:rsid w:val="002C051E"/>
    <w:rsid w:val="002C0D3B"/>
    <w:rsid w:val="002C4153"/>
    <w:rsid w:val="002C56E4"/>
    <w:rsid w:val="002C5B1C"/>
    <w:rsid w:val="002D1731"/>
    <w:rsid w:val="002D290E"/>
    <w:rsid w:val="002D4254"/>
    <w:rsid w:val="002D4E6E"/>
    <w:rsid w:val="002E7605"/>
    <w:rsid w:val="002F2BFD"/>
    <w:rsid w:val="002F4862"/>
    <w:rsid w:val="00301893"/>
    <w:rsid w:val="00305BC6"/>
    <w:rsid w:val="00312A1F"/>
    <w:rsid w:val="003411DD"/>
    <w:rsid w:val="00341942"/>
    <w:rsid w:val="00357296"/>
    <w:rsid w:val="00363F41"/>
    <w:rsid w:val="00367213"/>
    <w:rsid w:val="0037398C"/>
    <w:rsid w:val="0037618F"/>
    <w:rsid w:val="00384D54"/>
    <w:rsid w:val="003853C1"/>
    <w:rsid w:val="0039018C"/>
    <w:rsid w:val="003A04C1"/>
    <w:rsid w:val="003A08A5"/>
    <w:rsid w:val="003A1ADE"/>
    <w:rsid w:val="003B0945"/>
    <w:rsid w:val="003B097F"/>
    <w:rsid w:val="003B4DCF"/>
    <w:rsid w:val="003C24DE"/>
    <w:rsid w:val="003D02C0"/>
    <w:rsid w:val="003D0CD7"/>
    <w:rsid w:val="003D3431"/>
    <w:rsid w:val="003D3B71"/>
    <w:rsid w:val="003D56AF"/>
    <w:rsid w:val="003E1EF3"/>
    <w:rsid w:val="003E5319"/>
    <w:rsid w:val="003E7F26"/>
    <w:rsid w:val="003F22D3"/>
    <w:rsid w:val="003F3AC3"/>
    <w:rsid w:val="003F5DEF"/>
    <w:rsid w:val="003F6E2B"/>
    <w:rsid w:val="00402087"/>
    <w:rsid w:val="00404615"/>
    <w:rsid w:val="004055B0"/>
    <w:rsid w:val="00407776"/>
    <w:rsid w:val="0041346D"/>
    <w:rsid w:val="00422DC2"/>
    <w:rsid w:val="00427353"/>
    <w:rsid w:val="00430DFD"/>
    <w:rsid w:val="0043564D"/>
    <w:rsid w:val="0043628A"/>
    <w:rsid w:val="00444AE6"/>
    <w:rsid w:val="004478FD"/>
    <w:rsid w:val="00465D45"/>
    <w:rsid w:val="004700B3"/>
    <w:rsid w:val="00490226"/>
    <w:rsid w:val="00491C59"/>
    <w:rsid w:val="004973B4"/>
    <w:rsid w:val="004B21E8"/>
    <w:rsid w:val="004B7DAE"/>
    <w:rsid w:val="004D001A"/>
    <w:rsid w:val="004D6DC2"/>
    <w:rsid w:val="004E79A4"/>
    <w:rsid w:val="004F19DF"/>
    <w:rsid w:val="004F2A3C"/>
    <w:rsid w:val="004F3300"/>
    <w:rsid w:val="004F3D6F"/>
    <w:rsid w:val="0051056D"/>
    <w:rsid w:val="005277C1"/>
    <w:rsid w:val="005331C9"/>
    <w:rsid w:val="00533EFA"/>
    <w:rsid w:val="0055219D"/>
    <w:rsid w:val="0055353F"/>
    <w:rsid w:val="00560DBA"/>
    <w:rsid w:val="0056633F"/>
    <w:rsid w:val="00566800"/>
    <w:rsid w:val="005713E5"/>
    <w:rsid w:val="0058447A"/>
    <w:rsid w:val="00590886"/>
    <w:rsid w:val="00595545"/>
    <w:rsid w:val="005970C7"/>
    <w:rsid w:val="005A435A"/>
    <w:rsid w:val="005A4785"/>
    <w:rsid w:val="005B0C40"/>
    <w:rsid w:val="005C2FD5"/>
    <w:rsid w:val="005D3675"/>
    <w:rsid w:val="005D620B"/>
    <w:rsid w:val="005D691F"/>
    <w:rsid w:val="005E259B"/>
    <w:rsid w:val="006025ED"/>
    <w:rsid w:val="0061089F"/>
    <w:rsid w:val="00611408"/>
    <w:rsid w:val="00613F31"/>
    <w:rsid w:val="00633235"/>
    <w:rsid w:val="006378C4"/>
    <w:rsid w:val="00641D6C"/>
    <w:rsid w:val="00643332"/>
    <w:rsid w:val="006454A5"/>
    <w:rsid w:val="0065325A"/>
    <w:rsid w:val="00655DD4"/>
    <w:rsid w:val="006676DD"/>
    <w:rsid w:val="00673248"/>
    <w:rsid w:val="00673B79"/>
    <w:rsid w:val="00674316"/>
    <w:rsid w:val="00684E74"/>
    <w:rsid w:val="00685A6C"/>
    <w:rsid w:val="006A1801"/>
    <w:rsid w:val="006A535F"/>
    <w:rsid w:val="006C1E00"/>
    <w:rsid w:val="006D22C5"/>
    <w:rsid w:val="006D518E"/>
    <w:rsid w:val="006D762F"/>
    <w:rsid w:val="006D7F79"/>
    <w:rsid w:val="006E1B3E"/>
    <w:rsid w:val="007224C6"/>
    <w:rsid w:val="007233E0"/>
    <w:rsid w:val="00730BEB"/>
    <w:rsid w:val="00735701"/>
    <w:rsid w:val="007424E2"/>
    <w:rsid w:val="00751C48"/>
    <w:rsid w:val="00752D30"/>
    <w:rsid w:val="007531A7"/>
    <w:rsid w:val="00770BD3"/>
    <w:rsid w:val="00770BF1"/>
    <w:rsid w:val="00774E81"/>
    <w:rsid w:val="00787A51"/>
    <w:rsid w:val="0079585D"/>
    <w:rsid w:val="007A16D1"/>
    <w:rsid w:val="007A5346"/>
    <w:rsid w:val="007C39EB"/>
    <w:rsid w:val="007C61F7"/>
    <w:rsid w:val="007C66B3"/>
    <w:rsid w:val="00806663"/>
    <w:rsid w:val="00807CB5"/>
    <w:rsid w:val="008131AD"/>
    <w:rsid w:val="00815431"/>
    <w:rsid w:val="00821EAA"/>
    <w:rsid w:val="00822503"/>
    <w:rsid w:val="008327F5"/>
    <w:rsid w:val="008340B0"/>
    <w:rsid w:val="0083623D"/>
    <w:rsid w:val="00837B0F"/>
    <w:rsid w:val="00841888"/>
    <w:rsid w:val="00845732"/>
    <w:rsid w:val="008572D9"/>
    <w:rsid w:val="00861E13"/>
    <w:rsid w:val="00870BEE"/>
    <w:rsid w:val="008722A0"/>
    <w:rsid w:val="00892496"/>
    <w:rsid w:val="008A6F22"/>
    <w:rsid w:val="008B5946"/>
    <w:rsid w:val="008B5D8F"/>
    <w:rsid w:val="008B5E48"/>
    <w:rsid w:val="008C2724"/>
    <w:rsid w:val="008D0DDE"/>
    <w:rsid w:val="008D1909"/>
    <w:rsid w:val="008F4E0B"/>
    <w:rsid w:val="008F5A27"/>
    <w:rsid w:val="00902256"/>
    <w:rsid w:val="00907866"/>
    <w:rsid w:val="0092101C"/>
    <w:rsid w:val="0092256F"/>
    <w:rsid w:val="00924346"/>
    <w:rsid w:val="00937FEE"/>
    <w:rsid w:val="0094262C"/>
    <w:rsid w:val="009453E1"/>
    <w:rsid w:val="00952F94"/>
    <w:rsid w:val="009571D7"/>
    <w:rsid w:val="00972ED2"/>
    <w:rsid w:val="00987154"/>
    <w:rsid w:val="00991AF0"/>
    <w:rsid w:val="00993C0D"/>
    <w:rsid w:val="009A199C"/>
    <w:rsid w:val="009C02A1"/>
    <w:rsid w:val="009C7D8B"/>
    <w:rsid w:val="009D670A"/>
    <w:rsid w:val="009D7C00"/>
    <w:rsid w:val="009E2F97"/>
    <w:rsid w:val="009F6CE7"/>
    <w:rsid w:val="00A012A6"/>
    <w:rsid w:val="00A07960"/>
    <w:rsid w:val="00A1015A"/>
    <w:rsid w:val="00A141CB"/>
    <w:rsid w:val="00A1678A"/>
    <w:rsid w:val="00A23D8E"/>
    <w:rsid w:val="00A41250"/>
    <w:rsid w:val="00A41D4E"/>
    <w:rsid w:val="00A52A8F"/>
    <w:rsid w:val="00A55155"/>
    <w:rsid w:val="00A6205D"/>
    <w:rsid w:val="00A62209"/>
    <w:rsid w:val="00A640FF"/>
    <w:rsid w:val="00A6683E"/>
    <w:rsid w:val="00A83B38"/>
    <w:rsid w:val="00AA1DEA"/>
    <w:rsid w:val="00AA2ED7"/>
    <w:rsid w:val="00AA6010"/>
    <w:rsid w:val="00AD6EC2"/>
    <w:rsid w:val="00AE4C26"/>
    <w:rsid w:val="00AF142D"/>
    <w:rsid w:val="00AF2204"/>
    <w:rsid w:val="00B012F3"/>
    <w:rsid w:val="00B1273F"/>
    <w:rsid w:val="00B37284"/>
    <w:rsid w:val="00B42825"/>
    <w:rsid w:val="00B52CFC"/>
    <w:rsid w:val="00B53493"/>
    <w:rsid w:val="00B55D18"/>
    <w:rsid w:val="00B56CC8"/>
    <w:rsid w:val="00B575EB"/>
    <w:rsid w:val="00B65281"/>
    <w:rsid w:val="00B668FB"/>
    <w:rsid w:val="00B76B8E"/>
    <w:rsid w:val="00B94CD7"/>
    <w:rsid w:val="00BA45AE"/>
    <w:rsid w:val="00BA4F4A"/>
    <w:rsid w:val="00BA66AD"/>
    <w:rsid w:val="00BC2DD3"/>
    <w:rsid w:val="00BC67B1"/>
    <w:rsid w:val="00BD1A2A"/>
    <w:rsid w:val="00BD6FF9"/>
    <w:rsid w:val="00BD7CF3"/>
    <w:rsid w:val="00BE047E"/>
    <w:rsid w:val="00BE16D4"/>
    <w:rsid w:val="00BE7845"/>
    <w:rsid w:val="00BF2C53"/>
    <w:rsid w:val="00BF3B26"/>
    <w:rsid w:val="00C000C3"/>
    <w:rsid w:val="00C02E60"/>
    <w:rsid w:val="00C10095"/>
    <w:rsid w:val="00C20088"/>
    <w:rsid w:val="00C240FD"/>
    <w:rsid w:val="00C24374"/>
    <w:rsid w:val="00C302EF"/>
    <w:rsid w:val="00C356F2"/>
    <w:rsid w:val="00C43035"/>
    <w:rsid w:val="00C51B14"/>
    <w:rsid w:val="00C54877"/>
    <w:rsid w:val="00C74C53"/>
    <w:rsid w:val="00C75CCF"/>
    <w:rsid w:val="00C76067"/>
    <w:rsid w:val="00C92150"/>
    <w:rsid w:val="00C97431"/>
    <w:rsid w:val="00CA4CC0"/>
    <w:rsid w:val="00CD7B18"/>
    <w:rsid w:val="00CE479D"/>
    <w:rsid w:val="00CE4D75"/>
    <w:rsid w:val="00CE617A"/>
    <w:rsid w:val="00CF7DF9"/>
    <w:rsid w:val="00D00B43"/>
    <w:rsid w:val="00D238DF"/>
    <w:rsid w:val="00D241D3"/>
    <w:rsid w:val="00D253E1"/>
    <w:rsid w:val="00D27FA8"/>
    <w:rsid w:val="00D365D3"/>
    <w:rsid w:val="00D42F7B"/>
    <w:rsid w:val="00D43775"/>
    <w:rsid w:val="00D546D0"/>
    <w:rsid w:val="00D55089"/>
    <w:rsid w:val="00D63BDA"/>
    <w:rsid w:val="00D65684"/>
    <w:rsid w:val="00D72D3A"/>
    <w:rsid w:val="00D749CB"/>
    <w:rsid w:val="00D826C7"/>
    <w:rsid w:val="00D8671C"/>
    <w:rsid w:val="00DA76FA"/>
    <w:rsid w:val="00DB2B49"/>
    <w:rsid w:val="00DB315A"/>
    <w:rsid w:val="00DB4591"/>
    <w:rsid w:val="00DC28FE"/>
    <w:rsid w:val="00DC290C"/>
    <w:rsid w:val="00DC33B4"/>
    <w:rsid w:val="00DC4B1C"/>
    <w:rsid w:val="00DC50E8"/>
    <w:rsid w:val="00DD0300"/>
    <w:rsid w:val="00DD4656"/>
    <w:rsid w:val="00DD7473"/>
    <w:rsid w:val="00DF01DF"/>
    <w:rsid w:val="00E018FB"/>
    <w:rsid w:val="00E11641"/>
    <w:rsid w:val="00E11D38"/>
    <w:rsid w:val="00E135C8"/>
    <w:rsid w:val="00E14A6F"/>
    <w:rsid w:val="00E21DC0"/>
    <w:rsid w:val="00E22CA2"/>
    <w:rsid w:val="00E300EF"/>
    <w:rsid w:val="00E32687"/>
    <w:rsid w:val="00E4129A"/>
    <w:rsid w:val="00E469F1"/>
    <w:rsid w:val="00E506FA"/>
    <w:rsid w:val="00E6763B"/>
    <w:rsid w:val="00E87ACA"/>
    <w:rsid w:val="00EA0007"/>
    <w:rsid w:val="00EA3EC9"/>
    <w:rsid w:val="00EA7D1B"/>
    <w:rsid w:val="00EB05DC"/>
    <w:rsid w:val="00EB201E"/>
    <w:rsid w:val="00EB22F7"/>
    <w:rsid w:val="00EB2A0A"/>
    <w:rsid w:val="00EB58BD"/>
    <w:rsid w:val="00EC0FFC"/>
    <w:rsid w:val="00ED2E33"/>
    <w:rsid w:val="00ED3024"/>
    <w:rsid w:val="00ED71B6"/>
    <w:rsid w:val="00ED73FF"/>
    <w:rsid w:val="00EE5474"/>
    <w:rsid w:val="00EF0E10"/>
    <w:rsid w:val="00EF2076"/>
    <w:rsid w:val="00EF2AFB"/>
    <w:rsid w:val="00EF4F25"/>
    <w:rsid w:val="00EF574F"/>
    <w:rsid w:val="00F228FE"/>
    <w:rsid w:val="00F22DAE"/>
    <w:rsid w:val="00F269D7"/>
    <w:rsid w:val="00F33D5C"/>
    <w:rsid w:val="00F431FB"/>
    <w:rsid w:val="00F439B3"/>
    <w:rsid w:val="00F53ACB"/>
    <w:rsid w:val="00F60E46"/>
    <w:rsid w:val="00F6184E"/>
    <w:rsid w:val="00F753B0"/>
    <w:rsid w:val="00F8007E"/>
    <w:rsid w:val="00F81C8A"/>
    <w:rsid w:val="00F84805"/>
    <w:rsid w:val="00F85981"/>
    <w:rsid w:val="00FA2B02"/>
    <w:rsid w:val="00FB1115"/>
    <w:rsid w:val="00FB4AE4"/>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BC6A00"/>
  <w15:docId w15:val="{78171619-DB40-42A1-B66E-30D797BF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rsid w:val="0092101C"/>
    <w:rPr>
      <w:color w:val="236192" w:themeColor="accent1"/>
      <w:u w:val="single"/>
    </w:rPr>
  </w:style>
  <w:style w:type="paragraph" w:styleId="TOC1">
    <w:name w:val="toc 1"/>
    <w:basedOn w:val="Normal"/>
    <w:next w:val="Normal"/>
    <w:uiPriority w:val="39"/>
    <w:rsid w:val="00770BD3"/>
    <w:pPr>
      <w:keepNext/>
      <w:tabs>
        <w:tab w:val="right" w:leader="dot" w:pos="4961"/>
      </w:tabs>
      <w:spacing w:before="240" w:after="60"/>
      <w:ind w:right="567"/>
    </w:pPr>
    <w:rPr>
      <w:b/>
      <w:noProof/>
    </w:rPr>
  </w:style>
  <w:style w:type="paragraph" w:styleId="TOC2">
    <w:name w:val="toc 2"/>
    <w:basedOn w:val="Normal"/>
    <w:next w:val="Normal"/>
    <w:uiPriority w:val="39"/>
    <w:semiHidden/>
    <w:rsid w:val="00770BD3"/>
    <w:pPr>
      <w:tabs>
        <w:tab w:val="right" w:leader="dot" w:pos="4961"/>
      </w:tabs>
      <w:spacing w:before="60" w:after="60"/>
      <w:ind w:right="567"/>
    </w:pPr>
    <w:rPr>
      <w:noProof/>
    </w:rPr>
  </w:style>
  <w:style w:type="paragraph" w:styleId="TOC3">
    <w:name w:val="toc 3"/>
    <w:basedOn w:val="Normal"/>
    <w:next w:val="Normal"/>
    <w:uiPriority w:val="39"/>
    <w:semiHidden/>
    <w:rsid w:val="00770BD3"/>
    <w:pPr>
      <w:tabs>
        <w:tab w:val="right" w:leader="dot" w:pos="4961"/>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430DFD"/>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link w:val="ListParagraphChar"/>
    <w:uiPriority w:val="34"/>
    <w:qFormat/>
    <w:rsid w:val="00685A6C"/>
    <w:pPr>
      <w:numPr>
        <w:numId w:val="11"/>
      </w:numPr>
    </w:pPr>
  </w:style>
  <w:style w:type="paragraph" w:styleId="TOC4">
    <w:name w:val="toc 4"/>
    <w:basedOn w:val="TOC1"/>
    <w:next w:val="Normal"/>
    <w:uiPriority w:val="39"/>
    <w:semiHidden/>
    <w:rsid w:val="00DF01DF"/>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numPr>
        <w:ilvl w:val="1"/>
      </w:numPr>
    </w:pPr>
  </w:style>
  <w:style w:type="paragraph" w:customStyle="1" w:styleId="TableNumber2">
    <w:name w:val="Table Number 2"/>
    <w:basedOn w:val="TableNumber"/>
    <w:uiPriority w:val="19"/>
    <w:rsid w:val="00430DF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qFormat/>
    <w:rsid w:val="00815431"/>
    <w:pPr>
      <w:tabs>
        <w:tab w:val="right" w:pos="10488"/>
      </w:tabs>
    </w:pPr>
    <w:rPr>
      <w:b/>
      <w:color w:val="FFFFFF" w:themeColor="background1"/>
    </w:rPr>
  </w:style>
  <w:style w:type="paragraph" w:customStyle="1" w:styleId="Factsheetsubtitle">
    <w:name w:val="Factsheet subtitle"/>
    <w:basedOn w:val="Subtitle"/>
    <w:link w:val="FactsheetsubtitleChar"/>
    <w:qFormat/>
    <w:rsid w:val="00B94CD7"/>
    <w:rPr>
      <w:color w:val="FFFFFF" w:themeColor="background1"/>
    </w:rPr>
  </w:style>
  <w:style w:type="character" w:customStyle="1" w:styleId="FactSheettitleChar">
    <w:name w:val="FactSheet title Char"/>
    <w:basedOn w:val="TitleChar"/>
    <w:link w:val="FactSheettitle"/>
    <w:rsid w:val="00815431"/>
    <w:rPr>
      <w:rFonts w:asciiTheme="majorHAnsi" w:eastAsiaTheme="majorEastAsia" w:hAnsiTheme="majorHAnsi" w:cstheme="majorBidi"/>
      <w:b/>
      <w:color w:val="FFFFFF" w:themeColor="background1"/>
      <w:sz w:val="48"/>
      <w:szCs w:val="52"/>
    </w:rPr>
  </w:style>
  <w:style w:type="character" w:customStyle="1" w:styleId="FactsheetsubtitleChar">
    <w:name w:val="Factsheet subtitle Char"/>
    <w:basedOn w:val="SubtitleChar"/>
    <w:link w:val="Factsheetsubtitle"/>
    <w:rsid w:val="00B94CD7"/>
    <w:rPr>
      <w:rFonts w:asciiTheme="majorHAnsi" w:eastAsiaTheme="majorEastAsia" w:hAnsiTheme="majorHAnsi" w:cstheme="majorBidi"/>
      <w:iCs/>
      <w:color w:val="FFFFFF" w:themeColor="background1"/>
      <w:sz w:val="28"/>
      <w:szCs w:val="24"/>
    </w:rPr>
  </w:style>
  <w:style w:type="character" w:customStyle="1" w:styleId="FactsheetHeadingChar">
    <w:name w:val="Factsheet Heading Char"/>
    <w:link w:val="FactsheetHeading"/>
    <w:locked/>
    <w:rsid w:val="00312A1F"/>
    <w:rPr>
      <w:rFonts w:ascii="Arial" w:hAnsi="Arial" w:cs="Arial-BoldMT"/>
      <w:bCs/>
      <w:color w:val="003E69"/>
      <w:sz w:val="48"/>
      <w:szCs w:val="48"/>
      <w:lang w:bidi="en-US"/>
    </w:rPr>
  </w:style>
  <w:style w:type="paragraph" w:customStyle="1" w:styleId="FactsheetHeading">
    <w:name w:val="Factsheet Heading"/>
    <w:basedOn w:val="Normal"/>
    <w:link w:val="FactsheetHeadingChar"/>
    <w:qFormat/>
    <w:rsid w:val="00312A1F"/>
    <w:pPr>
      <w:spacing w:before="120" w:after="120"/>
    </w:pPr>
    <w:rPr>
      <w:rFonts w:ascii="Arial" w:hAnsi="Arial" w:cs="Arial-BoldMT"/>
      <w:bCs/>
      <w:color w:val="003E69"/>
      <w:sz w:val="48"/>
      <w:szCs w:val="48"/>
      <w:lang w:bidi="en-US"/>
    </w:rPr>
  </w:style>
  <w:style w:type="character" w:customStyle="1" w:styleId="ListParagraphChar">
    <w:name w:val="List Paragraph Char"/>
    <w:link w:val="ListParagraph0"/>
    <w:uiPriority w:val="34"/>
    <w:locked/>
    <w:rsid w:val="00643332"/>
    <w:rPr>
      <w:rFonts w:eastAsia="Times New Roman" w:cs="Times New Roman"/>
      <w:sz w:val="20"/>
      <w:szCs w:val="24"/>
      <w:lang w:eastAsia="en-AU"/>
    </w:rPr>
  </w:style>
  <w:style w:type="paragraph" w:customStyle="1" w:styleId="s33">
    <w:name w:val="s33"/>
    <w:basedOn w:val="Normal"/>
    <w:rsid w:val="00D826C7"/>
    <w:pPr>
      <w:spacing w:before="100" w:beforeAutospacing="1" w:after="100" w:afterAutospacing="1"/>
    </w:pPr>
    <w:rPr>
      <w:rFonts w:ascii="Calibri" w:eastAsia="Calibri" w:hAnsi="Calibri" w:cs="Calibri"/>
      <w:sz w:val="22"/>
    </w:rPr>
  </w:style>
  <w:style w:type="paragraph" w:customStyle="1" w:styleId="s64">
    <w:name w:val="s64"/>
    <w:basedOn w:val="Normal"/>
    <w:rsid w:val="00D826C7"/>
    <w:pPr>
      <w:spacing w:before="100" w:beforeAutospacing="1" w:after="100" w:afterAutospacing="1"/>
    </w:pPr>
    <w:rPr>
      <w:rFonts w:ascii="Calibri" w:eastAsia="Calibri" w:hAnsi="Calibri" w:cs="Calibri"/>
      <w:sz w:val="22"/>
    </w:rPr>
  </w:style>
  <w:style w:type="character" w:customStyle="1" w:styleId="bumpedfont20">
    <w:name w:val="bumpedfont20"/>
    <w:rsid w:val="00D826C7"/>
  </w:style>
  <w:style w:type="character" w:styleId="UnresolvedMention">
    <w:name w:val="Unresolved Mention"/>
    <w:basedOn w:val="DefaultParagraphFont"/>
    <w:uiPriority w:val="99"/>
    <w:semiHidden/>
    <w:unhideWhenUsed/>
    <w:rsid w:val="001E1E7E"/>
    <w:rPr>
      <w:color w:val="605E5C"/>
      <w:shd w:val="clear" w:color="auto" w:fill="E1DFDD"/>
    </w:rPr>
  </w:style>
  <w:style w:type="character" w:styleId="CommentReference">
    <w:name w:val="annotation reference"/>
    <w:basedOn w:val="DefaultParagraphFont"/>
    <w:uiPriority w:val="99"/>
    <w:semiHidden/>
    <w:unhideWhenUsed/>
    <w:rsid w:val="00B52CFC"/>
    <w:rPr>
      <w:sz w:val="16"/>
      <w:szCs w:val="16"/>
    </w:rPr>
  </w:style>
  <w:style w:type="paragraph" w:styleId="CommentText">
    <w:name w:val="annotation text"/>
    <w:basedOn w:val="Normal"/>
    <w:link w:val="CommentTextChar"/>
    <w:uiPriority w:val="99"/>
    <w:semiHidden/>
    <w:unhideWhenUsed/>
    <w:rsid w:val="00B52CFC"/>
    <w:rPr>
      <w:szCs w:val="20"/>
    </w:rPr>
  </w:style>
  <w:style w:type="character" w:customStyle="1" w:styleId="CommentTextChar">
    <w:name w:val="Comment Text Char"/>
    <w:basedOn w:val="DefaultParagraphFont"/>
    <w:link w:val="CommentText"/>
    <w:uiPriority w:val="99"/>
    <w:semiHidden/>
    <w:rsid w:val="00B52CFC"/>
    <w:rPr>
      <w:sz w:val="20"/>
      <w:szCs w:val="20"/>
    </w:rPr>
  </w:style>
  <w:style w:type="paragraph" w:styleId="CommentSubject">
    <w:name w:val="annotation subject"/>
    <w:basedOn w:val="CommentText"/>
    <w:next w:val="CommentText"/>
    <w:link w:val="CommentSubjectChar"/>
    <w:uiPriority w:val="99"/>
    <w:semiHidden/>
    <w:unhideWhenUsed/>
    <w:rsid w:val="00B52CFC"/>
    <w:rPr>
      <w:b/>
      <w:bCs/>
    </w:rPr>
  </w:style>
  <w:style w:type="character" w:customStyle="1" w:styleId="CommentSubjectChar">
    <w:name w:val="Comment Subject Char"/>
    <w:basedOn w:val="CommentTextChar"/>
    <w:link w:val="CommentSubject"/>
    <w:uiPriority w:val="99"/>
    <w:semiHidden/>
    <w:rsid w:val="00B52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2680">
      <w:bodyDiv w:val="1"/>
      <w:marLeft w:val="0"/>
      <w:marRight w:val="0"/>
      <w:marTop w:val="0"/>
      <w:marBottom w:val="0"/>
      <w:divBdr>
        <w:top w:val="none" w:sz="0" w:space="0" w:color="auto"/>
        <w:left w:val="none" w:sz="0" w:space="0" w:color="auto"/>
        <w:bottom w:val="none" w:sz="0" w:space="0" w:color="auto"/>
        <w:right w:val="none" w:sz="0" w:space="0" w:color="auto"/>
      </w:divBdr>
    </w:div>
    <w:div w:id="1396275042">
      <w:bodyDiv w:val="1"/>
      <w:marLeft w:val="0"/>
      <w:marRight w:val="0"/>
      <w:marTop w:val="0"/>
      <w:marBottom w:val="0"/>
      <w:divBdr>
        <w:top w:val="none" w:sz="0" w:space="0" w:color="auto"/>
        <w:left w:val="none" w:sz="0" w:space="0" w:color="auto"/>
        <w:bottom w:val="none" w:sz="0" w:space="0" w:color="auto"/>
        <w:right w:val="none" w:sz="0" w:space="0" w:color="auto"/>
      </w:divBdr>
    </w:div>
    <w:div w:id="1434858572">
      <w:bodyDiv w:val="1"/>
      <w:marLeft w:val="0"/>
      <w:marRight w:val="0"/>
      <w:marTop w:val="0"/>
      <w:marBottom w:val="0"/>
      <w:divBdr>
        <w:top w:val="none" w:sz="0" w:space="0" w:color="auto"/>
        <w:left w:val="none" w:sz="0" w:space="0" w:color="auto"/>
        <w:bottom w:val="none" w:sz="0" w:space="0" w:color="auto"/>
        <w:right w:val="none" w:sz="0" w:space="0" w:color="auto"/>
      </w:divBdr>
    </w:div>
    <w:div w:id="1540312518">
      <w:bodyDiv w:val="1"/>
      <w:marLeft w:val="0"/>
      <w:marRight w:val="0"/>
      <w:marTop w:val="0"/>
      <w:marBottom w:val="0"/>
      <w:divBdr>
        <w:top w:val="none" w:sz="0" w:space="0" w:color="auto"/>
        <w:left w:val="none" w:sz="0" w:space="0" w:color="auto"/>
        <w:bottom w:val="none" w:sz="0" w:space="0" w:color="auto"/>
        <w:right w:val="none" w:sz="0" w:space="0" w:color="auto"/>
      </w:divBdr>
    </w:div>
    <w:div w:id="19625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martjobs.qld.gov.au" TargetMode="External"/><Relationship Id="rId18" Type="http://schemas.openxmlformats.org/officeDocument/2006/relationships/image" Target="media/image4.png"/><Relationship Id="rId26" Type="http://schemas.openxmlformats.org/officeDocument/2006/relationships/header" Target="header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qld.gov.au/__data/assets/pdf_file/0009/150120/hed-0116.pdf" TargetMode="External"/><Relationship Id="rId34" Type="http://schemas.microsoft.com/office/2007/relationships/diagramDrawing" Target="diagrams/drawing1.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diagramColors" Target="diagrams/colors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martjobs.qld.gov.au" TargetMode="External"/><Relationship Id="rId32" Type="http://schemas.openxmlformats.org/officeDocument/2006/relationships/diagramQuickStyle" Target="diagrams/quickStyle1.xml"/><Relationship Id="rId37" Type="http://schemas.openxmlformats.org/officeDocument/2006/relationships/hyperlink" Target="https://www.health.qld.gov.au/system-governance/policies-standards/doh-policy/policy/qh-pol-197.pdf" TargetMode="External"/><Relationship Id="rId40"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hyperlink" Target="http://metronorth.health.qld.gov.au/" TargetMode="External"/><Relationship Id="rId23" Type="http://schemas.openxmlformats.org/officeDocument/2006/relationships/hyperlink" Target="https://www.health.qld.gov.au/__data/assets/pdf_file/0024/1108446/qh-pol-486.pdf" TargetMode="External"/><Relationship Id="rId28" Type="http://schemas.openxmlformats.org/officeDocument/2006/relationships/header" Target="header2.xml"/><Relationship Id="rId36" Type="http://schemas.openxmlformats.org/officeDocument/2006/relationships/hyperlink" Target="https://www.forgov.qld.gov.au/__data/assets/pdf_file/0033/185919/lobbyist-disclosure-policy_0.pdf"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diagramLayout" Target="diagrams/layout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health.qld.gov.au/__data/assets/pdf_file/0022/1108453/hed-1221.pdf" TargetMode="External"/><Relationship Id="rId27" Type="http://schemas.openxmlformats.org/officeDocument/2006/relationships/footer" Target="footer2.xml"/><Relationship Id="rId30" Type="http://schemas.openxmlformats.org/officeDocument/2006/relationships/diagramData" Target="diagrams/data1.xml"/><Relationship Id="rId35" Type="http://schemas.openxmlformats.org/officeDocument/2006/relationships/hyperlink" Target="https://www.health.qld.gov.au/__data/assets/pdf_file/0009/150120/hed-0116.pdf" TargetMode="External"/><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mc\Queensland%20Health\Metro%20North%20Communications%20-%20Documents\Design\00%20Metro%20North\MN%20Corporate%20ID\03%20MS%20Office%20templates\01%20Report%20fact%20sheets\mnhhs-factshee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876A02-2FC0-4A85-A23F-37ADC82FF0D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7D9A3822-E30B-4B8A-92F2-3697B72F8DF6}">
      <dgm:prSet phldrT="[Text]" custT="1"/>
      <dgm:spPr/>
      <dgm:t>
        <a:bodyPr/>
        <a:lstStyle/>
        <a:p>
          <a:r>
            <a:rPr lang="en-AU" sz="1400"/>
            <a:t>Director, Queensland Telestroke Service</a:t>
          </a:r>
        </a:p>
        <a:p>
          <a:endParaRPr lang="en-AU" sz="1600"/>
        </a:p>
      </dgm:t>
    </dgm:pt>
    <dgm:pt modelId="{5E926BB2-3194-455A-8BB3-6F923CF6EFD8}" type="parTrans" cxnId="{852688C7-5461-4DE0-B7F9-31D7B16C20BF}">
      <dgm:prSet/>
      <dgm:spPr/>
      <dgm:t>
        <a:bodyPr/>
        <a:lstStyle/>
        <a:p>
          <a:endParaRPr lang="en-AU"/>
        </a:p>
      </dgm:t>
    </dgm:pt>
    <dgm:pt modelId="{57CBBECC-3019-4550-8CAC-B0FEA61196B5}" type="sibTrans" cxnId="{852688C7-5461-4DE0-B7F9-31D7B16C20BF}">
      <dgm:prSet/>
      <dgm:spPr/>
      <dgm:t>
        <a:bodyPr/>
        <a:lstStyle/>
        <a:p>
          <a:endParaRPr lang="en-AU"/>
        </a:p>
      </dgm:t>
    </dgm:pt>
    <dgm:pt modelId="{1ECDEB18-F14E-4D42-A8D2-FEC522D2D37C}">
      <dgm:prSet phldrT="[Text]" custT="1"/>
      <dgm:spPr/>
      <dgm:t>
        <a:bodyPr/>
        <a:lstStyle/>
        <a:p>
          <a:r>
            <a:rPr lang="en-AU" sz="1800"/>
            <a:t>Stroke Senior Registrar/Fellow</a:t>
          </a:r>
        </a:p>
        <a:p>
          <a:r>
            <a:rPr lang="en-AU" sz="1800"/>
            <a:t>Queensland Telestroke Service</a:t>
          </a:r>
        </a:p>
        <a:p>
          <a:r>
            <a:rPr lang="en-AU" sz="1800"/>
            <a:t>(This role)</a:t>
          </a:r>
        </a:p>
      </dgm:t>
    </dgm:pt>
    <dgm:pt modelId="{E00DF0AF-8F69-4DF4-B8D6-DE8509F3CD72}" type="parTrans" cxnId="{75E64DFE-022C-485A-AB7D-48712E26E941}">
      <dgm:prSet/>
      <dgm:spPr/>
      <dgm:t>
        <a:bodyPr/>
        <a:lstStyle/>
        <a:p>
          <a:endParaRPr lang="en-AU"/>
        </a:p>
      </dgm:t>
    </dgm:pt>
    <dgm:pt modelId="{AC3386EE-4405-442F-AB30-39E4702F068C}" type="sibTrans" cxnId="{75E64DFE-022C-485A-AB7D-48712E26E941}">
      <dgm:prSet/>
      <dgm:spPr/>
      <dgm:t>
        <a:bodyPr/>
        <a:lstStyle/>
        <a:p>
          <a:endParaRPr lang="en-AU"/>
        </a:p>
      </dgm:t>
    </dgm:pt>
    <dgm:pt modelId="{AD0C5379-345D-4B88-BB10-21DF811454B5}">
      <dgm:prSet custT="1"/>
      <dgm:spPr/>
      <dgm:t>
        <a:bodyPr/>
        <a:lstStyle/>
        <a:p>
          <a:r>
            <a:rPr lang="en-AU" sz="1400"/>
            <a:t>Co-Chairs, Queensland Stroke Clinical Network (operational)</a:t>
          </a:r>
          <a:endParaRPr lang="en-AU" sz="1600"/>
        </a:p>
      </dgm:t>
    </dgm:pt>
    <dgm:pt modelId="{0374C199-2B90-4D48-B32D-992A7B37091A}" type="parTrans" cxnId="{2B493226-578E-40D4-AC18-9666DB3D614B}">
      <dgm:prSet/>
      <dgm:spPr/>
      <dgm:t>
        <a:bodyPr/>
        <a:lstStyle/>
        <a:p>
          <a:endParaRPr lang="en-AU"/>
        </a:p>
      </dgm:t>
    </dgm:pt>
    <dgm:pt modelId="{642F9570-2114-4916-BB93-2F96FDFCDE06}" type="sibTrans" cxnId="{2B493226-578E-40D4-AC18-9666DB3D614B}">
      <dgm:prSet/>
      <dgm:spPr/>
      <dgm:t>
        <a:bodyPr/>
        <a:lstStyle/>
        <a:p>
          <a:endParaRPr lang="en-AU"/>
        </a:p>
      </dgm:t>
    </dgm:pt>
    <dgm:pt modelId="{FE1CFDEF-4631-4600-82D5-4DAB90ED7793}">
      <dgm:prSet phldrT="[Text]" custT="1"/>
      <dgm:spPr/>
      <dgm:t>
        <a:bodyPr/>
        <a:lstStyle/>
        <a:p>
          <a:r>
            <a:rPr lang="en-AU" sz="1400"/>
            <a:t>Director, Neurology Royal Brisbane and Women's Hospital</a:t>
          </a:r>
        </a:p>
        <a:p>
          <a:r>
            <a:rPr lang="en-AU" sz="1400"/>
            <a:t>(professional)</a:t>
          </a:r>
        </a:p>
      </dgm:t>
    </dgm:pt>
    <dgm:pt modelId="{DE0974EB-6502-4648-8B97-0C23737A9468}" type="parTrans" cxnId="{BA188A0F-84D4-45B0-A388-309CE407D108}">
      <dgm:prSet/>
      <dgm:spPr/>
      <dgm:t>
        <a:bodyPr/>
        <a:lstStyle/>
        <a:p>
          <a:endParaRPr lang="en-AU"/>
        </a:p>
      </dgm:t>
    </dgm:pt>
    <dgm:pt modelId="{D0C3B6A9-CF64-4A41-9731-AB3031CFA5B3}" type="sibTrans" cxnId="{BA188A0F-84D4-45B0-A388-309CE407D108}">
      <dgm:prSet/>
      <dgm:spPr/>
      <dgm:t>
        <a:bodyPr/>
        <a:lstStyle/>
        <a:p>
          <a:endParaRPr lang="en-AU"/>
        </a:p>
      </dgm:t>
    </dgm:pt>
    <dgm:pt modelId="{9C4A6947-49FF-41EB-B998-9ACD6F7A9535}" type="pres">
      <dgm:prSet presAssocID="{8D876A02-2FC0-4A85-A23F-37ADC82FF0D5}" presName="hierChild1" presStyleCnt="0">
        <dgm:presLayoutVars>
          <dgm:orgChart val="1"/>
          <dgm:chPref val="1"/>
          <dgm:dir/>
          <dgm:animOne val="branch"/>
          <dgm:animLvl val="lvl"/>
          <dgm:resizeHandles/>
        </dgm:presLayoutVars>
      </dgm:prSet>
      <dgm:spPr/>
    </dgm:pt>
    <dgm:pt modelId="{F2711FE5-EB3D-4231-AF40-1E9462F0506B}" type="pres">
      <dgm:prSet presAssocID="{AD0C5379-345D-4B88-BB10-21DF811454B5}" presName="hierRoot1" presStyleCnt="0">
        <dgm:presLayoutVars>
          <dgm:hierBranch val="init"/>
        </dgm:presLayoutVars>
      </dgm:prSet>
      <dgm:spPr/>
    </dgm:pt>
    <dgm:pt modelId="{81224F7E-0305-4854-B7C4-73616D408202}" type="pres">
      <dgm:prSet presAssocID="{AD0C5379-345D-4B88-BB10-21DF811454B5}" presName="rootComposite1" presStyleCnt="0"/>
      <dgm:spPr/>
    </dgm:pt>
    <dgm:pt modelId="{5E828D76-A972-4018-BA08-6858D151AD2C}" type="pres">
      <dgm:prSet presAssocID="{AD0C5379-345D-4B88-BB10-21DF811454B5}" presName="rootText1" presStyleLbl="node0" presStyleIdx="0" presStyleCnt="2" custScaleX="162236" custScaleY="92875">
        <dgm:presLayoutVars>
          <dgm:chPref val="3"/>
        </dgm:presLayoutVars>
      </dgm:prSet>
      <dgm:spPr/>
    </dgm:pt>
    <dgm:pt modelId="{0F661EFF-1B41-408A-A734-57DD1871029F}" type="pres">
      <dgm:prSet presAssocID="{AD0C5379-345D-4B88-BB10-21DF811454B5}" presName="rootConnector1" presStyleLbl="node1" presStyleIdx="0" presStyleCnt="0"/>
      <dgm:spPr/>
    </dgm:pt>
    <dgm:pt modelId="{1471EA0F-272D-49A4-85E9-808C4B32963B}" type="pres">
      <dgm:prSet presAssocID="{AD0C5379-345D-4B88-BB10-21DF811454B5}" presName="hierChild2" presStyleCnt="0"/>
      <dgm:spPr/>
    </dgm:pt>
    <dgm:pt modelId="{6EE94B58-CC49-4602-AB50-624CD165A18F}" type="pres">
      <dgm:prSet presAssocID="{5E926BB2-3194-455A-8BB3-6F923CF6EFD8}" presName="Name37" presStyleLbl="parChTrans1D2" presStyleIdx="0" presStyleCnt="1"/>
      <dgm:spPr/>
    </dgm:pt>
    <dgm:pt modelId="{61454D57-64F4-4978-8E2F-FCF1C919CC28}" type="pres">
      <dgm:prSet presAssocID="{7D9A3822-E30B-4B8A-92F2-3697B72F8DF6}" presName="hierRoot2" presStyleCnt="0">
        <dgm:presLayoutVars>
          <dgm:hierBranch val="init"/>
        </dgm:presLayoutVars>
      </dgm:prSet>
      <dgm:spPr/>
    </dgm:pt>
    <dgm:pt modelId="{63672419-8EF8-4101-A448-5BB594819D5E}" type="pres">
      <dgm:prSet presAssocID="{7D9A3822-E30B-4B8A-92F2-3697B72F8DF6}" presName="rootComposite" presStyleCnt="0"/>
      <dgm:spPr/>
    </dgm:pt>
    <dgm:pt modelId="{5B689A21-D20E-42C4-80D6-9FF0ECC53E22}" type="pres">
      <dgm:prSet presAssocID="{7D9A3822-E30B-4B8A-92F2-3697B72F8DF6}" presName="rootText" presStyleLbl="node2" presStyleIdx="0" presStyleCnt="1" custScaleX="145813" custScaleY="66015">
        <dgm:presLayoutVars>
          <dgm:chPref val="3"/>
        </dgm:presLayoutVars>
      </dgm:prSet>
      <dgm:spPr/>
    </dgm:pt>
    <dgm:pt modelId="{24C20303-33D2-412D-8D07-998CA7609D81}" type="pres">
      <dgm:prSet presAssocID="{7D9A3822-E30B-4B8A-92F2-3697B72F8DF6}" presName="rootConnector" presStyleLbl="node2" presStyleIdx="0" presStyleCnt="1"/>
      <dgm:spPr/>
    </dgm:pt>
    <dgm:pt modelId="{572B5D31-8066-4B2A-9465-D42BAFDBD3C0}" type="pres">
      <dgm:prSet presAssocID="{7D9A3822-E30B-4B8A-92F2-3697B72F8DF6}" presName="hierChild4" presStyleCnt="0"/>
      <dgm:spPr/>
    </dgm:pt>
    <dgm:pt modelId="{29403D72-C31F-44CB-994B-6F07460EFA44}" type="pres">
      <dgm:prSet presAssocID="{E00DF0AF-8F69-4DF4-B8D6-DE8509F3CD72}" presName="Name37" presStyleLbl="parChTrans1D3" presStyleIdx="0" presStyleCnt="1"/>
      <dgm:spPr/>
    </dgm:pt>
    <dgm:pt modelId="{9CE8C341-99F2-40E3-9515-A693B008FD21}" type="pres">
      <dgm:prSet presAssocID="{1ECDEB18-F14E-4D42-A8D2-FEC522D2D37C}" presName="hierRoot2" presStyleCnt="0">
        <dgm:presLayoutVars>
          <dgm:hierBranch val="init"/>
        </dgm:presLayoutVars>
      </dgm:prSet>
      <dgm:spPr/>
    </dgm:pt>
    <dgm:pt modelId="{892D0ADE-1099-41B3-B449-427D625E84C9}" type="pres">
      <dgm:prSet presAssocID="{1ECDEB18-F14E-4D42-A8D2-FEC522D2D37C}" presName="rootComposite" presStyleCnt="0"/>
      <dgm:spPr/>
    </dgm:pt>
    <dgm:pt modelId="{78FE3790-BFF1-4DC2-AB5F-3993F3AA6AB2}" type="pres">
      <dgm:prSet presAssocID="{1ECDEB18-F14E-4D42-A8D2-FEC522D2D37C}" presName="rootText" presStyleLbl="node3" presStyleIdx="0" presStyleCnt="1" custScaleX="202175">
        <dgm:presLayoutVars>
          <dgm:chPref val="3"/>
        </dgm:presLayoutVars>
      </dgm:prSet>
      <dgm:spPr/>
    </dgm:pt>
    <dgm:pt modelId="{7A40D7FF-33DD-44A7-89E8-511FD9007EF3}" type="pres">
      <dgm:prSet presAssocID="{1ECDEB18-F14E-4D42-A8D2-FEC522D2D37C}" presName="rootConnector" presStyleLbl="node3" presStyleIdx="0" presStyleCnt="1"/>
      <dgm:spPr/>
    </dgm:pt>
    <dgm:pt modelId="{38520F50-3F23-4258-B684-5B5A859DDDD5}" type="pres">
      <dgm:prSet presAssocID="{1ECDEB18-F14E-4D42-A8D2-FEC522D2D37C}" presName="hierChild4" presStyleCnt="0"/>
      <dgm:spPr/>
    </dgm:pt>
    <dgm:pt modelId="{F93B499E-1EF4-4D1D-8BD3-1E1CBB5244E4}" type="pres">
      <dgm:prSet presAssocID="{1ECDEB18-F14E-4D42-A8D2-FEC522D2D37C}" presName="hierChild5" presStyleCnt="0"/>
      <dgm:spPr/>
    </dgm:pt>
    <dgm:pt modelId="{F9FB8287-966C-4F73-8CD6-FB2E63DD5285}" type="pres">
      <dgm:prSet presAssocID="{7D9A3822-E30B-4B8A-92F2-3697B72F8DF6}" presName="hierChild5" presStyleCnt="0"/>
      <dgm:spPr/>
    </dgm:pt>
    <dgm:pt modelId="{3277AB28-2DB7-439E-A1BE-A958541D671D}" type="pres">
      <dgm:prSet presAssocID="{AD0C5379-345D-4B88-BB10-21DF811454B5}" presName="hierChild3" presStyleCnt="0"/>
      <dgm:spPr/>
    </dgm:pt>
    <dgm:pt modelId="{F5D17A78-2A74-48AC-B43F-6692D3E11B53}" type="pres">
      <dgm:prSet presAssocID="{FE1CFDEF-4631-4600-82D5-4DAB90ED7793}" presName="hierRoot1" presStyleCnt="0">
        <dgm:presLayoutVars>
          <dgm:hierBranch val="init"/>
        </dgm:presLayoutVars>
      </dgm:prSet>
      <dgm:spPr/>
    </dgm:pt>
    <dgm:pt modelId="{93D25ADB-DEF5-4441-96A3-A6F5145C7E43}" type="pres">
      <dgm:prSet presAssocID="{FE1CFDEF-4631-4600-82D5-4DAB90ED7793}" presName="rootComposite1" presStyleCnt="0"/>
      <dgm:spPr/>
    </dgm:pt>
    <dgm:pt modelId="{C4E64054-2E9E-466E-B4C0-B4A2BFBB1A36}" type="pres">
      <dgm:prSet presAssocID="{FE1CFDEF-4631-4600-82D5-4DAB90ED7793}" presName="rootText1" presStyleLbl="node0" presStyleIdx="1" presStyleCnt="2" custScaleX="137457" custScaleY="95538">
        <dgm:presLayoutVars>
          <dgm:chPref val="3"/>
        </dgm:presLayoutVars>
      </dgm:prSet>
      <dgm:spPr/>
    </dgm:pt>
    <dgm:pt modelId="{88128E26-E794-4D39-8C6A-37F78C4849BE}" type="pres">
      <dgm:prSet presAssocID="{FE1CFDEF-4631-4600-82D5-4DAB90ED7793}" presName="rootConnector1" presStyleLbl="node1" presStyleIdx="0" presStyleCnt="0"/>
      <dgm:spPr/>
    </dgm:pt>
    <dgm:pt modelId="{73864C96-1678-4502-99C2-BC86E330E996}" type="pres">
      <dgm:prSet presAssocID="{FE1CFDEF-4631-4600-82D5-4DAB90ED7793}" presName="hierChild2" presStyleCnt="0"/>
      <dgm:spPr/>
    </dgm:pt>
    <dgm:pt modelId="{286CD5FD-005C-4730-9473-A8C8B7A51C76}" type="pres">
      <dgm:prSet presAssocID="{FE1CFDEF-4631-4600-82D5-4DAB90ED7793}" presName="hierChild3" presStyleCnt="0"/>
      <dgm:spPr/>
    </dgm:pt>
  </dgm:ptLst>
  <dgm:cxnLst>
    <dgm:cxn modelId="{45557207-33F5-4A40-B950-3F7272D71EF2}" type="presOf" srcId="{FE1CFDEF-4631-4600-82D5-4DAB90ED7793}" destId="{88128E26-E794-4D39-8C6A-37F78C4849BE}" srcOrd="1" destOrd="0" presId="urn:microsoft.com/office/officeart/2005/8/layout/orgChart1"/>
    <dgm:cxn modelId="{BA188A0F-84D4-45B0-A388-309CE407D108}" srcId="{8D876A02-2FC0-4A85-A23F-37ADC82FF0D5}" destId="{FE1CFDEF-4631-4600-82D5-4DAB90ED7793}" srcOrd="1" destOrd="0" parTransId="{DE0974EB-6502-4648-8B97-0C23737A9468}" sibTransId="{D0C3B6A9-CF64-4A41-9731-AB3031CFA5B3}"/>
    <dgm:cxn modelId="{03795910-F45D-4CDE-A03B-40967947FB00}" type="presOf" srcId="{8D876A02-2FC0-4A85-A23F-37ADC82FF0D5}" destId="{9C4A6947-49FF-41EB-B998-9ACD6F7A9535}" srcOrd="0" destOrd="0" presId="urn:microsoft.com/office/officeart/2005/8/layout/orgChart1"/>
    <dgm:cxn modelId="{96C7C210-3898-4040-8E36-3819A71C6D36}" type="presOf" srcId="{E00DF0AF-8F69-4DF4-B8D6-DE8509F3CD72}" destId="{29403D72-C31F-44CB-994B-6F07460EFA44}" srcOrd="0" destOrd="0" presId="urn:microsoft.com/office/officeart/2005/8/layout/orgChart1"/>
    <dgm:cxn modelId="{9AA4D41E-DAA4-4629-AA29-2E163BABFC6E}" type="presOf" srcId="{1ECDEB18-F14E-4D42-A8D2-FEC522D2D37C}" destId="{7A40D7FF-33DD-44A7-89E8-511FD9007EF3}" srcOrd="1" destOrd="0" presId="urn:microsoft.com/office/officeart/2005/8/layout/orgChart1"/>
    <dgm:cxn modelId="{2B493226-578E-40D4-AC18-9666DB3D614B}" srcId="{8D876A02-2FC0-4A85-A23F-37ADC82FF0D5}" destId="{AD0C5379-345D-4B88-BB10-21DF811454B5}" srcOrd="0" destOrd="0" parTransId="{0374C199-2B90-4D48-B32D-992A7B37091A}" sibTransId="{642F9570-2114-4916-BB93-2F96FDFCDE06}"/>
    <dgm:cxn modelId="{59F69274-4925-46FE-81A4-FCA8ADF618A9}" type="presOf" srcId="{7D9A3822-E30B-4B8A-92F2-3697B72F8DF6}" destId="{24C20303-33D2-412D-8D07-998CA7609D81}" srcOrd="1" destOrd="0" presId="urn:microsoft.com/office/officeart/2005/8/layout/orgChart1"/>
    <dgm:cxn modelId="{06428E93-465C-47B7-A1C5-567BC78F9B65}" type="presOf" srcId="{7D9A3822-E30B-4B8A-92F2-3697B72F8DF6}" destId="{5B689A21-D20E-42C4-80D6-9FF0ECC53E22}" srcOrd="0" destOrd="0" presId="urn:microsoft.com/office/officeart/2005/8/layout/orgChart1"/>
    <dgm:cxn modelId="{302F6595-B837-4894-B1FA-B9576BB9D1D8}" type="presOf" srcId="{1ECDEB18-F14E-4D42-A8D2-FEC522D2D37C}" destId="{78FE3790-BFF1-4DC2-AB5F-3993F3AA6AB2}" srcOrd="0" destOrd="0" presId="urn:microsoft.com/office/officeart/2005/8/layout/orgChart1"/>
    <dgm:cxn modelId="{061675A2-4254-48A6-B05E-64ABE9A77F24}" type="presOf" srcId="{AD0C5379-345D-4B88-BB10-21DF811454B5}" destId="{5E828D76-A972-4018-BA08-6858D151AD2C}" srcOrd="0" destOrd="0" presId="urn:microsoft.com/office/officeart/2005/8/layout/orgChart1"/>
    <dgm:cxn modelId="{66D942B3-9D8B-4F0D-92B6-A91CE01A8304}" type="presOf" srcId="{5E926BB2-3194-455A-8BB3-6F923CF6EFD8}" destId="{6EE94B58-CC49-4602-AB50-624CD165A18F}" srcOrd="0" destOrd="0" presId="urn:microsoft.com/office/officeart/2005/8/layout/orgChart1"/>
    <dgm:cxn modelId="{852688C7-5461-4DE0-B7F9-31D7B16C20BF}" srcId="{AD0C5379-345D-4B88-BB10-21DF811454B5}" destId="{7D9A3822-E30B-4B8A-92F2-3697B72F8DF6}" srcOrd="0" destOrd="0" parTransId="{5E926BB2-3194-455A-8BB3-6F923CF6EFD8}" sibTransId="{57CBBECC-3019-4550-8CAC-B0FEA61196B5}"/>
    <dgm:cxn modelId="{CE41A1CF-EBE6-481E-AB29-8C3568E2A88F}" type="presOf" srcId="{FE1CFDEF-4631-4600-82D5-4DAB90ED7793}" destId="{C4E64054-2E9E-466E-B4C0-B4A2BFBB1A36}" srcOrd="0" destOrd="0" presId="urn:microsoft.com/office/officeart/2005/8/layout/orgChart1"/>
    <dgm:cxn modelId="{C4400CFB-D218-4F6E-AD56-3EDC60DFE014}" type="presOf" srcId="{AD0C5379-345D-4B88-BB10-21DF811454B5}" destId="{0F661EFF-1B41-408A-A734-57DD1871029F}" srcOrd="1" destOrd="0" presId="urn:microsoft.com/office/officeart/2005/8/layout/orgChart1"/>
    <dgm:cxn modelId="{75E64DFE-022C-485A-AB7D-48712E26E941}" srcId="{7D9A3822-E30B-4B8A-92F2-3697B72F8DF6}" destId="{1ECDEB18-F14E-4D42-A8D2-FEC522D2D37C}" srcOrd="0" destOrd="0" parTransId="{E00DF0AF-8F69-4DF4-B8D6-DE8509F3CD72}" sibTransId="{AC3386EE-4405-442F-AB30-39E4702F068C}"/>
    <dgm:cxn modelId="{9846405C-1B1F-4EE9-8C75-39FF08548009}" type="presParOf" srcId="{9C4A6947-49FF-41EB-B998-9ACD6F7A9535}" destId="{F2711FE5-EB3D-4231-AF40-1E9462F0506B}" srcOrd="0" destOrd="0" presId="urn:microsoft.com/office/officeart/2005/8/layout/orgChart1"/>
    <dgm:cxn modelId="{3D670D79-E26D-417E-BF33-8BFCDD302748}" type="presParOf" srcId="{F2711FE5-EB3D-4231-AF40-1E9462F0506B}" destId="{81224F7E-0305-4854-B7C4-73616D408202}" srcOrd="0" destOrd="0" presId="urn:microsoft.com/office/officeart/2005/8/layout/orgChart1"/>
    <dgm:cxn modelId="{99DC8F1D-2670-4B86-B89D-E69D226FF2D4}" type="presParOf" srcId="{81224F7E-0305-4854-B7C4-73616D408202}" destId="{5E828D76-A972-4018-BA08-6858D151AD2C}" srcOrd="0" destOrd="0" presId="urn:microsoft.com/office/officeart/2005/8/layout/orgChart1"/>
    <dgm:cxn modelId="{561C040E-413A-485F-9EDD-705AFADA7DC9}" type="presParOf" srcId="{81224F7E-0305-4854-B7C4-73616D408202}" destId="{0F661EFF-1B41-408A-A734-57DD1871029F}" srcOrd="1" destOrd="0" presId="urn:microsoft.com/office/officeart/2005/8/layout/orgChart1"/>
    <dgm:cxn modelId="{3D2095D4-CEF1-43FE-9E6A-42F585B1B3A5}" type="presParOf" srcId="{F2711FE5-EB3D-4231-AF40-1E9462F0506B}" destId="{1471EA0F-272D-49A4-85E9-808C4B32963B}" srcOrd="1" destOrd="0" presId="urn:microsoft.com/office/officeart/2005/8/layout/orgChart1"/>
    <dgm:cxn modelId="{B0AF3446-E674-440B-B63D-CE4FAABB56BF}" type="presParOf" srcId="{1471EA0F-272D-49A4-85E9-808C4B32963B}" destId="{6EE94B58-CC49-4602-AB50-624CD165A18F}" srcOrd="0" destOrd="0" presId="urn:microsoft.com/office/officeart/2005/8/layout/orgChart1"/>
    <dgm:cxn modelId="{82D106B8-0B48-4DE3-977A-4DBE9AA22DFA}" type="presParOf" srcId="{1471EA0F-272D-49A4-85E9-808C4B32963B}" destId="{61454D57-64F4-4978-8E2F-FCF1C919CC28}" srcOrd="1" destOrd="0" presId="urn:microsoft.com/office/officeart/2005/8/layout/orgChart1"/>
    <dgm:cxn modelId="{7791B3F3-0B25-44A1-AE7B-BD5B0D0A4147}" type="presParOf" srcId="{61454D57-64F4-4978-8E2F-FCF1C919CC28}" destId="{63672419-8EF8-4101-A448-5BB594819D5E}" srcOrd="0" destOrd="0" presId="urn:microsoft.com/office/officeart/2005/8/layout/orgChart1"/>
    <dgm:cxn modelId="{8B43C747-42C9-4CF1-BD01-5DD729F6E5A0}" type="presParOf" srcId="{63672419-8EF8-4101-A448-5BB594819D5E}" destId="{5B689A21-D20E-42C4-80D6-9FF0ECC53E22}" srcOrd="0" destOrd="0" presId="urn:microsoft.com/office/officeart/2005/8/layout/orgChart1"/>
    <dgm:cxn modelId="{09A3B4CB-B403-4597-A666-1C2884DD670D}" type="presParOf" srcId="{63672419-8EF8-4101-A448-5BB594819D5E}" destId="{24C20303-33D2-412D-8D07-998CA7609D81}" srcOrd="1" destOrd="0" presId="urn:microsoft.com/office/officeart/2005/8/layout/orgChart1"/>
    <dgm:cxn modelId="{F05F6D00-0CFF-4E16-9144-477A42268B2F}" type="presParOf" srcId="{61454D57-64F4-4978-8E2F-FCF1C919CC28}" destId="{572B5D31-8066-4B2A-9465-D42BAFDBD3C0}" srcOrd="1" destOrd="0" presId="urn:microsoft.com/office/officeart/2005/8/layout/orgChart1"/>
    <dgm:cxn modelId="{6F1B74AC-68C2-4A7A-BEE5-DDBE7C0DF72E}" type="presParOf" srcId="{572B5D31-8066-4B2A-9465-D42BAFDBD3C0}" destId="{29403D72-C31F-44CB-994B-6F07460EFA44}" srcOrd="0" destOrd="0" presId="urn:microsoft.com/office/officeart/2005/8/layout/orgChart1"/>
    <dgm:cxn modelId="{10AC12CD-E44A-475E-AC70-342B83629F8F}" type="presParOf" srcId="{572B5D31-8066-4B2A-9465-D42BAFDBD3C0}" destId="{9CE8C341-99F2-40E3-9515-A693B008FD21}" srcOrd="1" destOrd="0" presId="urn:microsoft.com/office/officeart/2005/8/layout/orgChart1"/>
    <dgm:cxn modelId="{80159C0C-4582-4B1E-8457-42D368F9CB36}" type="presParOf" srcId="{9CE8C341-99F2-40E3-9515-A693B008FD21}" destId="{892D0ADE-1099-41B3-B449-427D625E84C9}" srcOrd="0" destOrd="0" presId="urn:microsoft.com/office/officeart/2005/8/layout/orgChart1"/>
    <dgm:cxn modelId="{BF1C0847-1784-463D-B91B-2897813F5548}" type="presParOf" srcId="{892D0ADE-1099-41B3-B449-427D625E84C9}" destId="{78FE3790-BFF1-4DC2-AB5F-3993F3AA6AB2}" srcOrd="0" destOrd="0" presId="urn:microsoft.com/office/officeart/2005/8/layout/orgChart1"/>
    <dgm:cxn modelId="{5FFD99EA-5E50-476A-92B2-65ACB1830F84}" type="presParOf" srcId="{892D0ADE-1099-41B3-B449-427D625E84C9}" destId="{7A40D7FF-33DD-44A7-89E8-511FD9007EF3}" srcOrd="1" destOrd="0" presId="urn:microsoft.com/office/officeart/2005/8/layout/orgChart1"/>
    <dgm:cxn modelId="{23508E9D-99D5-4FE3-90D8-0024E08DCE07}" type="presParOf" srcId="{9CE8C341-99F2-40E3-9515-A693B008FD21}" destId="{38520F50-3F23-4258-B684-5B5A859DDDD5}" srcOrd="1" destOrd="0" presId="urn:microsoft.com/office/officeart/2005/8/layout/orgChart1"/>
    <dgm:cxn modelId="{C87952E4-7F3B-42A7-9D29-F19A7E060CE8}" type="presParOf" srcId="{9CE8C341-99F2-40E3-9515-A693B008FD21}" destId="{F93B499E-1EF4-4D1D-8BD3-1E1CBB5244E4}" srcOrd="2" destOrd="0" presId="urn:microsoft.com/office/officeart/2005/8/layout/orgChart1"/>
    <dgm:cxn modelId="{93D7F2ED-6192-4E71-87F9-F7A861C79923}" type="presParOf" srcId="{61454D57-64F4-4978-8E2F-FCF1C919CC28}" destId="{F9FB8287-966C-4F73-8CD6-FB2E63DD5285}" srcOrd="2" destOrd="0" presId="urn:microsoft.com/office/officeart/2005/8/layout/orgChart1"/>
    <dgm:cxn modelId="{6B5E17C3-0BE0-4FBB-970F-D5BFB7B92A95}" type="presParOf" srcId="{F2711FE5-EB3D-4231-AF40-1E9462F0506B}" destId="{3277AB28-2DB7-439E-A1BE-A958541D671D}" srcOrd="2" destOrd="0" presId="urn:microsoft.com/office/officeart/2005/8/layout/orgChart1"/>
    <dgm:cxn modelId="{2D6D6694-A0E5-4103-A97B-BF93ACA88BBD}" type="presParOf" srcId="{9C4A6947-49FF-41EB-B998-9ACD6F7A9535}" destId="{F5D17A78-2A74-48AC-B43F-6692D3E11B53}" srcOrd="1" destOrd="0" presId="urn:microsoft.com/office/officeart/2005/8/layout/orgChart1"/>
    <dgm:cxn modelId="{8CD79D15-17A7-4A75-BC69-FFAC2BDA1644}" type="presParOf" srcId="{F5D17A78-2A74-48AC-B43F-6692D3E11B53}" destId="{93D25ADB-DEF5-4441-96A3-A6F5145C7E43}" srcOrd="0" destOrd="0" presId="urn:microsoft.com/office/officeart/2005/8/layout/orgChart1"/>
    <dgm:cxn modelId="{E415D6E8-5A32-4FAC-BCAA-72D9A5D8E9D2}" type="presParOf" srcId="{93D25ADB-DEF5-4441-96A3-A6F5145C7E43}" destId="{C4E64054-2E9E-466E-B4C0-B4A2BFBB1A36}" srcOrd="0" destOrd="0" presId="urn:microsoft.com/office/officeart/2005/8/layout/orgChart1"/>
    <dgm:cxn modelId="{F02BB0DD-D237-4CA7-AA2A-FE76CD5DE9EF}" type="presParOf" srcId="{93D25ADB-DEF5-4441-96A3-A6F5145C7E43}" destId="{88128E26-E794-4D39-8C6A-37F78C4849BE}" srcOrd="1" destOrd="0" presId="urn:microsoft.com/office/officeart/2005/8/layout/orgChart1"/>
    <dgm:cxn modelId="{1DA97931-9B92-41E3-878F-2307A12F245C}" type="presParOf" srcId="{F5D17A78-2A74-48AC-B43F-6692D3E11B53}" destId="{73864C96-1678-4502-99C2-BC86E330E996}" srcOrd="1" destOrd="0" presId="urn:microsoft.com/office/officeart/2005/8/layout/orgChart1"/>
    <dgm:cxn modelId="{99209B68-880E-46B8-B978-FD03AE3A2973}" type="presParOf" srcId="{F5D17A78-2A74-48AC-B43F-6692D3E11B53}" destId="{286CD5FD-005C-4730-9473-A8C8B7A51C76}"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03D72-C31F-44CB-994B-6F07460EFA44}">
      <dsp:nvSpPr>
        <dsp:cNvPr id="0" name=""/>
        <dsp:cNvSpPr/>
      </dsp:nvSpPr>
      <dsp:spPr>
        <a:xfrm>
          <a:off x="619592" y="3179352"/>
          <a:ext cx="591352" cy="1243703"/>
        </a:xfrm>
        <a:custGeom>
          <a:avLst/>
          <a:gdLst/>
          <a:ahLst/>
          <a:cxnLst/>
          <a:rect l="0" t="0" r="0" b="0"/>
          <a:pathLst>
            <a:path>
              <a:moveTo>
                <a:pt x="0" y="0"/>
              </a:moveTo>
              <a:lnTo>
                <a:pt x="0" y="1243703"/>
              </a:lnTo>
              <a:lnTo>
                <a:pt x="591352" y="12437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E94B58-CC49-4602-AB50-624CD165A18F}">
      <dsp:nvSpPr>
        <dsp:cNvPr id="0" name=""/>
        <dsp:cNvSpPr/>
      </dsp:nvSpPr>
      <dsp:spPr>
        <a:xfrm>
          <a:off x="2150813" y="1719149"/>
          <a:ext cx="91440" cy="567777"/>
        </a:xfrm>
        <a:custGeom>
          <a:avLst/>
          <a:gdLst/>
          <a:ahLst/>
          <a:cxnLst/>
          <a:rect l="0" t="0" r="0" b="0"/>
          <a:pathLst>
            <a:path>
              <a:moveTo>
                <a:pt x="45720" y="0"/>
              </a:moveTo>
              <a:lnTo>
                <a:pt x="45720" y="5677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28D76-A972-4018-BA08-6858D151AD2C}">
      <dsp:nvSpPr>
        <dsp:cNvPr id="0" name=""/>
        <dsp:cNvSpPr/>
      </dsp:nvSpPr>
      <dsp:spPr>
        <a:xfrm>
          <a:off x="3342" y="463617"/>
          <a:ext cx="4386381" cy="12555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Co-Chairs, Queensland Stroke Clinical Network (operational)</a:t>
          </a:r>
          <a:endParaRPr lang="en-AU" sz="1600" kern="1200"/>
        </a:p>
      </dsp:txBody>
      <dsp:txXfrm>
        <a:off x="3342" y="463617"/>
        <a:ext cx="4386381" cy="1255532"/>
      </dsp:txXfrm>
    </dsp:sp>
    <dsp:sp modelId="{5B689A21-D20E-42C4-80D6-9FF0ECC53E22}">
      <dsp:nvSpPr>
        <dsp:cNvPr id="0" name=""/>
        <dsp:cNvSpPr/>
      </dsp:nvSpPr>
      <dsp:spPr>
        <a:xfrm>
          <a:off x="225357" y="2286927"/>
          <a:ext cx="3942352" cy="892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Director, Queensland Telestroke Service</a:t>
          </a:r>
        </a:p>
        <a:p>
          <a:pPr marL="0" lvl="0" indent="0" algn="ctr" defTabSz="622300">
            <a:lnSpc>
              <a:spcPct val="90000"/>
            </a:lnSpc>
            <a:spcBef>
              <a:spcPct val="0"/>
            </a:spcBef>
            <a:spcAft>
              <a:spcPct val="35000"/>
            </a:spcAft>
            <a:buNone/>
          </a:pPr>
          <a:endParaRPr lang="en-AU" sz="1600" kern="1200"/>
        </a:p>
      </dsp:txBody>
      <dsp:txXfrm>
        <a:off x="225357" y="2286927"/>
        <a:ext cx="3942352" cy="892425"/>
      </dsp:txXfrm>
    </dsp:sp>
    <dsp:sp modelId="{78FE3790-BFF1-4DC2-AB5F-3993F3AA6AB2}">
      <dsp:nvSpPr>
        <dsp:cNvPr id="0" name=""/>
        <dsp:cNvSpPr/>
      </dsp:nvSpPr>
      <dsp:spPr>
        <a:xfrm>
          <a:off x="1210945" y="3747130"/>
          <a:ext cx="5466213" cy="1351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AU" sz="1800" kern="1200"/>
            <a:t>Stroke Senior Registrar/Fellow</a:t>
          </a:r>
        </a:p>
        <a:p>
          <a:pPr marL="0" lvl="0" indent="0" algn="ctr" defTabSz="800100">
            <a:lnSpc>
              <a:spcPct val="90000"/>
            </a:lnSpc>
            <a:spcBef>
              <a:spcPct val="0"/>
            </a:spcBef>
            <a:spcAft>
              <a:spcPct val="35000"/>
            </a:spcAft>
            <a:buNone/>
          </a:pPr>
          <a:r>
            <a:rPr lang="en-AU" sz="1800" kern="1200"/>
            <a:t>Queensland Telestroke Service</a:t>
          </a:r>
        </a:p>
        <a:p>
          <a:pPr marL="0" lvl="0" indent="0" algn="ctr" defTabSz="800100">
            <a:lnSpc>
              <a:spcPct val="90000"/>
            </a:lnSpc>
            <a:spcBef>
              <a:spcPct val="0"/>
            </a:spcBef>
            <a:spcAft>
              <a:spcPct val="35000"/>
            </a:spcAft>
            <a:buNone/>
          </a:pPr>
          <a:r>
            <a:rPr lang="en-AU" sz="1800" kern="1200"/>
            <a:t>(This role)</a:t>
          </a:r>
        </a:p>
      </dsp:txBody>
      <dsp:txXfrm>
        <a:off x="1210945" y="3747130"/>
        <a:ext cx="5466213" cy="1351852"/>
      </dsp:txXfrm>
    </dsp:sp>
    <dsp:sp modelId="{C4E64054-2E9E-466E-B4C0-B4A2BFBB1A36}">
      <dsp:nvSpPr>
        <dsp:cNvPr id="0" name=""/>
        <dsp:cNvSpPr/>
      </dsp:nvSpPr>
      <dsp:spPr>
        <a:xfrm>
          <a:off x="4957501" y="463617"/>
          <a:ext cx="3716430" cy="12915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Director, Neurology Royal Brisbane and Women's Hospital</a:t>
          </a:r>
        </a:p>
        <a:p>
          <a:pPr marL="0" lvl="0" indent="0" algn="ctr" defTabSz="622300">
            <a:lnSpc>
              <a:spcPct val="90000"/>
            </a:lnSpc>
            <a:spcBef>
              <a:spcPct val="0"/>
            </a:spcBef>
            <a:spcAft>
              <a:spcPct val="35000"/>
            </a:spcAft>
            <a:buNone/>
          </a:pPr>
          <a:r>
            <a:rPr lang="en-AU" sz="1400" kern="1200"/>
            <a:t>(professional)</a:t>
          </a:r>
        </a:p>
      </dsp:txBody>
      <dsp:txXfrm>
        <a:off x="4957501" y="463617"/>
        <a:ext cx="3716430" cy="12915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B5DE0BBA34FD0BDA3821D8433ECCD"/>
        <w:category>
          <w:name w:val="General"/>
          <w:gallery w:val="placeholder"/>
        </w:category>
        <w:types>
          <w:type w:val="bbPlcHdr"/>
        </w:types>
        <w:behaviors>
          <w:behavior w:val="content"/>
        </w:behaviors>
        <w:guid w:val="{156F2346-9AAF-4A89-9E4C-FDB2A98702C7}"/>
      </w:docPartPr>
      <w:docPartBody>
        <w:p w:rsidR="009C36A7" w:rsidRDefault="00820698">
          <w:pPr>
            <w:pStyle w:val="B7DB5DE0BBA34FD0BDA3821D8433ECCD"/>
          </w:pPr>
          <w:r w:rsidRPr="0008592A">
            <w:rPr>
              <w:highlight w:val="lightGray"/>
            </w:rPr>
            <w:t>[Facility/Service/Clinical Stream name]</w:t>
          </w:r>
        </w:p>
      </w:docPartBody>
    </w:docPart>
    <w:docPart>
      <w:docPartPr>
        <w:name w:val="57DA7DD1FF964FB9A510849892CA8CF0"/>
        <w:category>
          <w:name w:val="General"/>
          <w:gallery w:val="placeholder"/>
        </w:category>
        <w:types>
          <w:type w:val="bbPlcHdr"/>
        </w:types>
        <w:behaviors>
          <w:behavior w:val="content"/>
        </w:behaviors>
        <w:guid w:val="{0346D2BE-3438-4A02-A7AF-3D3D4A349D59}"/>
      </w:docPartPr>
      <w:docPartBody>
        <w:p w:rsidR="009C36A7" w:rsidRDefault="00820698" w:rsidP="00820698">
          <w:pPr>
            <w:pStyle w:val="57DA7DD1FF964FB9A510849892CA8CF0"/>
          </w:pPr>
          <w:r w:rsidRPr="0008592A">
            <w:rPr>
              <w:highlight w:val="lightGray"/>
            </w:rPr>
            <w:t>[Facility/Service/Clinical Stream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98"/>
    <w:rsid w:val="005F7A5F"/>
    <w:rsid w:val="0063238C"/>
    <w:rsid w:val="007E3E99"/>
    <w:rsid w:val="00820698"/>
    <w:rsid w:val="009C36A7"/>
    <w:rsid w:val="00B406ED"/>
    <w:rsid w:val="00B857A8"/>
    <w:rsid w:val="00C61BF0"/>
    <w:rsid w:val="00E95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B5DE0BBA34FD0BDA3821D8433ECCD">
    <w:name w:val="B7DB5DE0BBA34FD0BDA3821D8433ECCD"/>
  </w:style>
  <w:style w:type="paragraph" w:customStyle="1" w:styleId="57DA7DD1FF964FB9A510849892CA8CF0">
    <w:name w:val="57DA7DD1FF964FB9A510849892CA8CF0"/>
    <w:rsid w:val="00820698"/>
  </w:style>
  <w:style w:type="paragraph" w:customStyle="1" w:styleId="544B799FADF24C73A2E73F8C85AD0340">
    <w:name w:val="544B799FADF24C73A2E73F8C85AD0340"/>
    <w:rsid w:val="007E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C_Map xmlns="http://www.health.qld.gov.au/metronorth/docdata">
  <Title/>
  <Version>4.0</Version>
  <EffectiveDate>2023-05-01T00:00:00</EffectiveDate>
  <ReviewDate>2024-05-01T00:00:00</ReviewDate>
  <DocType/>
</CC_Map>
</file>

<file path=customXml/item6.xml><?xml version="1.0" encoding="utf-8"?>
<ct:contentTypeSchema xmlns:ct="http://schemas.microsoft.com/office/2006/metadata/contentType" xmlns:ma="http://schemas.microsoft.com/office/2006/metadata/properties/metaAttributes" ct:_="" ma:_="" ma:contentTypeName="Document" ma:contentTypeID="0x0101007D50D9894A26AB4899CC8AF478561309" ma:contentTypeVersion="13" ma:contentTypeDescription="Create a new document." ma:contentTypeScope="" ma:versionID="d1bd60d6696a076ee3ea1503e0d0872a">
  <xsd:schema xmlns:xsd="http://www.w3.org/2001/XMLSchema" xmlns:xs="http://www.w3.org/2001/XMLSchema" xmlns:p="http://schemas.microsoft.com/office/2006/metadata/properties" xmlns:ns2="97becbf7-fef3-48bd-acf4-b0783eb71c5a" xmlns:ns3="6a60e770-606a-4435-8034-97d279326c4d" targetNamespace="http://schemas.microsoft.com/office/2006/metadata/properties" ma:root="true" ma:fieldsID="5d05a97b3a549a14818070dcf8ccb2ca" ns2:_="" ns3:_="">
    <xsd:import namespace="97becbf7-fef3-48bd-acf4-b0783eb71c5a"/>
    <xsd:import namespace="6a60e770-606a-4435-8034-97d279326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cbf7-fef3-48bd-acf4-b0783eb7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0e770-606a-4435-8034-97d279326c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3.xml><?xml version="1.0" encoding="utf-8"?>
<ds:datastoreItem xmlns:ds="http://schemas.openxmlformats.org/officeDocument/2006/customXml" ds:itemID="{00751796-F7BD-483B-ACFD-A72C77F42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5.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6.xml><?xml version="1.0" encoding="utf-8"?>
<ds:datastoreItem xmlns:ds="http://schemas.openxmlformats.org/officeDocument/2006/customXml" ds:itemID="{80A4DDA8-844F-408A-90E2-B990B29A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cbf7-fef3-48bd-acf4-b0783eb71c5a"/>
    <ds:schemaRef ds:uri="6a60e770-606a-4435-8034-97d279326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mnhhs-factsheet</Template>
  <TotalTime>5</TotalTime>
  <Pages>8</Pages>
  <Words>2684</Words>
  <Characters>15702</Characters>
  <Application>Microsoft Office Word</Application>
  <DocSecurity>0</DocSecurity>
  <Lines>327</Lines>
  <Paragraphs>175</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Phillips</dc:creator>
  <cp:lastModifiedBy>Stefanie Wicks</cp:lastModifiedBy>
  <cp:revision>3</cp:revision>
  <cp:lastPrinted>2015-11-22T23:39:00Z</cp:lastPrinted>
  <dcterms:created xsi:type="dcterms:W3CDTF">2024-05-10T03:22:00Z</dcterms:created>
  <dcterms:modified xsi:type="dcterms:W3CDTF">2024-05-10T03:23:00Z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0x0101007D50D9894A26AB4899CC8AF478561309</vt:lpwstr>
  </property>
</Properties>
</file>